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CF" w:rsidRDefault="00FE48CF">
      <w:pPr>
        <w:pStyle w:val="ConsPlusNormal0"/>
        <w:sectPr w:rsidR="00FE48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E48CF" w:rsidRDefault="00FE48C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E48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48CF" w:rsidRDefault="001B0C2E">
            <w:pPr>
              <w:pStyle w:val="ConsPlusNormal0"/>
              <w:outlineLvl w:val="0"/>
            </w:pPr>
            <w:r>
              <w:t>3 июля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48CF" w:rsidRDefault="001B0C2E">
            <w:pPr>
              <w:pStyle w:val="ConsPlusNormal0"/>
              <w:jc w:val="right"/>
              <w:outlineLvl w:val="0"/>
            </w:pPr>
            <w:r>
              <w:t>N</w:t>
            </w:r>
            <w:r>
              <w:t> 211-РГ</w:t>
            </w:r>
          </w:p>
        </w:tc>
      </w:tr>
    </w:tbl>
    <w:p w:rsidR="00FE48CF" w:rsidRDefault="00FE48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Title0"/>
        <w:jc w:val="center"/>
      </w:pPr>
      <w:r>
        <w:t>РАСПОРЯЖЕНИЕ</w:t>
      </w:r>
    </w:p>
    <w:p w:rsidR="00FE48CF" w:rsidRDefault="00FE48CF">
      <w:pPr>
        <w:pStyle w:val="ConsPlusTitle0"/>
        <w:jc w:val="center"/>
      </w:pPr>
    </w:p>
    <w:p w:rsidR="00FE48CF" w:rsidRDefault="001B0C2E">
      <w:pPr>
        <w:pStyle w:val="ConsPlusTitle0"/>
        <w:jc w:val="center"/>
      </w:pPr>
      <w:r>
        <w:t>ГЛАВЫ КАБАРДИНО-БАЛКАРСКОЙ РЕСПУБЛИКИ</w:t>
      </w: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Normal0"/>
        <w:ind w:firstLine="540"/>
        <w:jc w:val="both"/>
      </w:pPr>
      <w:r>
        <w:t xml:space="preserve">В целях реализации Национального </w:t>
      </w:r>
      <w:hyperlink r:id="rId7" w:tooltip="Распоряжение Правительства РФ от 02.09.2021 N 2424-р (ред. от 27.05.2023) &lt;Об утверждении Национального плана (&quot;дорожной карты&quot;) развития конкуренции в Российской Федерации на 2021 - 2025 годы&gt; ------------ Недействующая редакция {КонсультантПлюс}">
        <w:r>
          <w:rPr>
            <w:color w:val="0000FF"/>
          </w:rPr>
          <w:t>плана</w:t>
        </w:r>
      </w:hyperlink>
      <w:r>
        <w:t xml:space="preserve"> ("дорожной карты") развития конкуренции в Российской Федерации на 2021 - 2025 годы, утв</w:t>
      </w:r>
      <w:r>
        <w:t>ержденного распоряжением Правительства Российской Федерации от 2 сентября 2021 г. N 2424-р:</w:t>
      </w:r>
    </w:p>
    <w:p w:rsidR="00FE48CF" w:rsidRDefault="001B0C2E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1" w:tooltip="ПЛАН МЕРОПРИЯТИЙ">
        <w:r>
          <w:rPr>
            <w:color w:val="0000FF"/>
          </w:rPr>
          <w:t>План</w:t>
        </w:r>
      </w:hyperlink>
      <w:r>
        <w:t xml:space="preserve"> мероприятий ("дорожную карту") по содействию развитию конкуренции в Кабардино-Балкарск</w:t>
      </w:r>
      <w:r>
        <w:t>ой Республике на 2023 - 2025 годы (далее - "дорожная карта").</w:t>
      </w:r>
    </w:p>
    <w:p w:rsidR="00FE48CF" w:rsidRDefault="001B0C2E">
      <w:pPr>
        <w:pStyle w:val="ConsPlusNormal0"/>
        <w:spacing w:before="200"/>
        <w:ind w:firstLine="540"/>
        <w:jc w:val="both"/>
      </w:pPr>
      <w:r>
        <w:t xml:space="preserve">2. Исполнительным органам государственной власти Кабардино-Балкарской Республики, ответственным за реализацию мероприятий и принятие мер по достижению целевых значений ключевых показателей </w:t>
      </w:r>
      <w:hyperlink w:anchor="P31" w:tooltip="ПЛАН МЕРОПРИЯТИЙ">
        <w:r>
          <w:rPr>
            <w:color w:val="0000FF"/>
          </w:rPr>
          <w:t>"дорожной карты"</w:t>
        </w:r>
      </w:hyperlink>
      <w:r>
        <w:t>:</w:t>
      </w:r>
    </w:p>
    <w:p w:rsidR="00FE48CF" w:rsidRDefault="001B0C2E">
      <w:pPr>
        <w:pStyle w:val="ConsPlusNormal0"/>
        <w:spacing w:before="200"/>
        <w:ind w:firstLine="540"/>
        <w:jc w:val="both"/>
      </w:pPr>
      <w:r>
        <w:t xml:space="preserve">а) организовать работу по своевременному выполнению мероприятий </w:t>
      </w:r>
      <w:hyperlink w:anchor="P31" w:tooltip="ПЛАН МЕРОПРИЯТИЙ">
        <w:r>
          <w:rPr>
            <w:color w:val="0000FF"/>
          </w:rPr>
          <w:t>"дорожной карты"</w:t>
        </w:r>
      </w:hyperlink>
      <w:r>
        <w:t>;</w:t>
      </w:r>
    </w:p>
    <w:p w:rsidR="00FE48CF" w:rsidRDefault="001B0C2E">
      <w:pPr>
        <w:pStyle w:val="ConsPlusNormal0"/>
        <w:spacing w:before="200"/>
        <w:ind w:firstLine="540"/>
        <w:jc w:val="both"/>
      </w:pPr>
      <w:r>
        <w:t xml:space="preserve">б) ежегодно до 15 февраля года, следующего за </w:t>
      </w:r>
      <w:proofErr w:type="gramStart"/>
      <w:r>
        <w:t>отчетным</w:t>
      </w:r>
      <w:proofErr w:type="gramEnd"/>
      <w:r>
        <w:t>, обеспечит</w:t>
      </w:r>
      <w:r>
        <w:t xml:space="preserve">ь представление в Министерство экономического развития Кабардино-Балкарской Республики информации о ходе выполнения мероприятий </w:t>
      </w:r>
      <w:hyperlink w:anchor="P31" w:tooltip="ПЛАН МЕРОПРИЯТИЙ">
        <w:r>
          <w:rPr>
            <w:color w:val="0000FF"/>
          </w:rPr>
          <w:t>"дорожной карты"</w:t>
        </w:r>
      </w:hyperlink>
      <w:r>
        <w:t>.</w:t>
      </w:r>
    </w:p>
    <w:p w:rsidR="00FE48CF" w:rsidRDefault="001B0C2E">
      <w:pPr>
        <w:pStyle w:val="ConsPlusNormal0"/>
        <w:spacing w:before="200"/>
        <w:ind w:firstLine="540"/>
        <w:jc w:val="both"/>
      </w:pPr>
      <w:r>
        <w:t xml:space="preserve">3. Признать утратившими силу </w:t>
      </w:r>
      <w:hyperlink r:id="rId8" w:tooltip="Распоряжение Главы КБР от 30.12.2021 N 194-РГ &quot;Об утверждении Перечня товарных рынков для содействия развитию конкуренции в Кабардино-Балкарской Республике и Плана мероприятий (&quot;дорожной карты&quot;) по содействию развитию конкуренции в Кабардино-Балкарской Республ">
        <w:r>
          <w:rPr>
            <w:color w:val="0000FF"/>
          </w:rPr>
          <w:t>абзац третий пункта 1</w:t>
        </w:r>
      </w:hyperlink>
      <w:r>
        <w:t xml:space="preserve"> и </w:t>
      </w:r>
      <w:hyperlink r:id="rId9" w:tooltip="Распоряжение Главы КБР от 30.12.2021 N 194-РГ &quot;Об утверждении Перечня товарных рынков для содействия развитию конкуренции в Кабардино-Балкарской Республике и Плана мероприятий (&quot;дорожной карты&quot;) по содействию развитию конкуренции в Кабардино-Балкарской Республ">
        <w:r>
          <w:rPr>
            <w:color w:val="0000FF"/>
          </w:rPr>
          <w:t>пункт 2</w:t>
        </w:r>
      </w:hyperlink>
      <w:r>
        <w:t xml:space="preserve"> распоряжения Главы Кабардино-Балкарской Республики от 30 декабря 2021 г. N 194-РГ "Об утверждении Перечня товарных рынков для содействия развит</w:t>
      </w:r>
      <w:r>
        <w:t>ию конкуренции в Кабардино-Балкарской Республике и Плана мероприятий ("дорожной карты") по содействию развитию конкуренции в Кабардино-Балкарской Республике на 2021 - 2025 годы".</w:t>
      </w: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Normal0"/>
        <w:jc w:val="right"/>
      </w:pPr>
      <w:r>
        <w:t>Глава Кабардино-Балкарской Республики</w:t>
      </w:r>
    </w:p>
    <w:p w:rsidR="00FE48CF" w:rsidRDefault="001B0C2E">
      <w:pPr>
        <w:pStyle w:val="ConsPlusNormal0"/>
        <w:jc w:val="right"/>
      </w:pPr>
      <w:r>
        <w:t>К.КОКОВ</w:t>
      </w:r>
    </w:p>
    <w:p w:rsidR="00FE48CF" w:rsidRDefault="001B0C2E">
      <w:pPr>
        <w:pStyle w:val="ConsPlusNormal0"/>
        <w:jc w:val="both"/>
      </w:pPr>
      <w:r>
        <w:t>город Нальчик</w:t>
      </w:r>
    </w:p>
    <w:p w:rsidR="00FE48CF" w:rsidRDefault="001B0C2E">
      <w:pPr>
        <w:pStyle w:val="ConsPlusNormal0"/>
        <w:spacing w:before="200"/>
        <w:jc w:val="both"/>
      </w:pPr>
      <w:r>
        <w:t>3 июля 2023 года</w:t>
      </w:r>
    </w:p>
    <w:p w:rsidR="00FE48CF" w:rsidRDefault="001B0C2E">
      <w:pPr>
        <w:pStyle w:val="ConsPlusNormal0"/>
        <w:spacing w:before="200"/>
        <w:jc w:val="both"/>
      </w:pPr>
      <w:r>
        <w:t>N 211-РГ</w:t>
      </w:r>
    </w:p>
    <w:p w:rsidR="00FE48CF" w:rsidRDefault="00FE48CF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5F7B29" w:rsidRDefault="005F7B29">
      <w:pPr>
        <w:pStyle w:val="ConsPlusNormal0"/>
        <w:jc w:val="both"/>
      </w:pPr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Normal0"/>
        <w:jc w:val="right"/>
        <w:outlineLvl w:val="0"/>
      </w:pPr>
      <w:r>
        <w:t>Утвержден</w:t>
      </w:r>
    </w:p>
    <w:p w:rsidR="00FE48CF" w:rsidRDefault="001B0C2E">
      <w:pPr>
        <w:pStyle w:val="ConsPlusNormal0"/>
        <w:jc w:val="right"/>
      </w:pPr>
      <w:r>
        <w:t>распоряжением</w:t>
      </w:r>
    </w:p>
    <w:p w:rsidR="00FE48CF" w:rsidRDefault="001B0C2E">
      <w:pPr>
        <w:pStyle w:val="ConsPlusNormal0"/>
        <w:jc w:val="right"/>
      </w:pPr>
      <w:r>
        <w:t>Главы</w:t>
      </w:r>
    </w:p>
    <w:p w:rsidR="00FE48CF" w:rsidRDefault="001B0C2E">
      <w:pPr>
        <w:pStyle w:val="ConsPlusNormal0"/>
        <w:jc w:val="right"/>
      </w:pPr>
      <w:r>
        <w:t>Кабардино-Балкарской Республики</w:t>
      </w:r>
    </w:p>
    <w:p w:rsidR="00FE48CF" w:rsidRDefault="001B0C2E">
      <w:pPr>
        <w:pStyle w:val="ConsPlusNormal0"/>
        <w:jc w:val="right"/>
      </w:pPr>
      <w:r>
        <w:t>от 3 июля 2023 г. N 211-РГ</w:t>
      </w: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Title0"/>
        <w:jc w:val="center"/>
      </w:pPr>
      <w:bookmarkStart w:id="0" w:name="P31"/>
      <w:bookmarkEnd w:id="0"/>
      <w:r>
        <w:t>ПЛАН МЕРОПРИЯТИЙ</w:t>
      </w:r>
    </w:p>
    <w:p w:rsidR="00FE48CF" w:rsidRDefault="001B0C2E">
      <w:pPr>
        <w:pStyle w:val="ConsPlusTitle0"/>
        <w:jc w:val="center"/>
      </w:pPr>
      <w:r>
        <w:t>("ДОРОЖНАЯ КАРТА") ПО СОДЕЙСТВИЮ РАЗВИТИЮ КОНКУРЕНЦИИ</w:t>
      </w:r>
    </w:p>
    <w:p w:rsidR="00FE48CF" w:rsidRDefault="001B0C2E">
      <w:pPr>
        <w:pStyle w:val="ConsPlusTitle0"/>
        <w:jc w:val="center"/>
      </w:pPr>
      <w:r>
        <w:t>В КАБАРДИНО-БАЛКАРСКОЙ РЕСПУБЛИКЕ НА 2023 - 2025 ГОДЫ</w:t>
      </w: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Title0"/>
        <w:jc w:val="center"/>
        <w:outlineLvl w:val="1"/>
      </w:pPr>
      <w:r>
        <w:t>I. Системные мероприятия по содействию развитию конкуренции</w:t>
      </w:r>
    </w:p>
    <w:p w:rsidR="00FE48CF" w:rsidRDefault="001B0C2E">
      <w:pPr>
        <w:pStyle w:val="ConsPlusTitle0"/>
        <w:jc w:val="center"/>
      </w:pPr>
      <w:r>
        <w:t>в Кабардино-Балкарской Республике</w:t>
      </w:r>
    </w:p>
    <w:p w:rsidR="00FE48CF" w:rsidRDefault="00FE48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3515"/>
        <w:gridCol w:w="2029"/>
        <w:gridCol w:w="2891"/>
      </w:tblGrid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N</w:t>
            </w:r>
          </w:p>
          <w:p w:rsidR="00FE48CF" w:rsidRDefault="001B0C2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Сроки выполнения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Исполнители </w:t>
            </w:r>
            <w:hyperlink w:anchor="P1170" w:tooltip="&lt;*&gt; Определение исполнителями мероприятий &quot;дорожной карты&quot; территориальных органов федеральных органов исполнительной власти, органов местного самоуправления имеет рекомендательный характер, участие в реализации соответствующих мероприятий осуществляется в пре">
              <w:r>
                <w:rPr>
                  <w:color w:val="0000FF"/>
                </w:rPr>
                <w:t>&lt;*&gt;</w:t>
              </w:r>
            </w:hyperlink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</w:t>
            </w:r>
            <w:r>
              <w:t xml:space="preserve">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исполнительные органы государственной власти Кабардино-Балкарской Республики,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Пр</w:t>
            </w:r>
            <w:r>
              <w:t>оведение мероприятий, направленных на централизацию закупок, в целях установления единых правил осуществления закупок, единых требований к участникам таких закупок, закупаемой продукции, заполнению заявок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</w:t>
            </w:r>
            <w:r>
              <w:t>ия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Разработка и утвержде</w:t>
            </w:r>
            <w:bookmarkStart w:id="1" w:name="_GoBack"/>
            <w:bookmarkEnd w:id="1"/>
            <w:r>
              <w:t xml:space="preserve">ние в целях применения при проведении закупок для государственных и муниципальных нужд типовых технических заданий, универсальных для всех заказчиков типовых контрактов, унифицированного порядка </w:t>
            </w:r>
            <w:r>
              <w:t>приемки закупаемых товаров в случае необходимости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развития Кабардино-Балкарской Республики, исполнительные органы государственной власти Кабардино-Балкарской Республики, местные администрации муниципальных район</w:t>
            </w:r>
            <w:r>
              <w:t>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Разработка и утверждение Стандарта осуществления закупочной деятельности отдельных видов юридических лиц, подведомственных субъекту Российской Федерации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развития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1.4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proofErr w:type="gramStart"/>
            <w:r>
              <w:t xml:space="preserve">Разработка и утверждение правовым актом Кабардино-Балкарской Республики для заказчиков, осуществляющих закупки в порядке, установленном Федеральным </w:t>
            </w:r>
            <w:hyperlink r:id="rId10" w:tooltip="Федеральный закон от 18.07.2011 N 223-ФЗ (ред. от 05.12.2022) &quot;О закупках товаров, работ, услуг отдельными видами юридических лиц&quot; (с изм. и доп., вступ. в силу с 01.04.2023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лиц", типового положения о закупке, устанавливающего специальный р</w:t>
            </w:r>
            <w:r>
              <w:t>ежим осуществления закупок, участниками которых могут быть только субъекты малого предпринимательства, который предусматривает единый ограниченный набор требований как к участнику закупки, так</w:t>
            </w:r>
            <w:proofErr w:type="gramEnd"/>
            <w:r>
              <w:t xml:space="preserve"> и к составу заявки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</w:t>
            </w:r>
            <w:r>
              <w:t xml:space="preserve"> развития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Развитие конкуренции в сфере распоряжения государственной собственностью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исполнительные органы государственной власти Кабардино-Балкарской Республики, местные администрации муниципальных районо</w:t>
            </w:r>
            <w:r>
              <w:t>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proofErr w:type="gramStart"/>
            <w:r>
              <w:t>Обеспечение опубликования и актуализации на официальных сайтах государственных органов Кабардино-Балкарской Республики и муниципальных образований в информационно-телекоммуникационной сети "Интернет"</w:t>
            </w:r>
            <w:r>
              <w:t xml:space="preserve"> (далее - сеть Интернет) информации об объектах, находящихся в государственной собственности Кабардино-Балкарской Республики, в муниципальной собственности, включая сведения о наименованиях объектов, их местонахождении, характеристиках и целевом назначении</w:t>
            </w:r>
            <w:r>
              <w:t xml:space="preserve"> объектов, существующих ограничениях их использования и обременении правами третьих лиц</w:t>
            </w:r>
            <w:proofErr w:type="gramEnd"/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земельных и имущественных отношений Кабардино-Балкарской Республики, исполнительные органы государственной власти Кабардино-Балкарской Республики,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Ведение открытого реестра ун</w:t>
            </w:r>
            <w:r>
              <w:t>итарных предприятий и хозяйственных обществ с долей государственного участия Кабардино-Балкарской Республики более 50 процентов с включением информации об основных показателях их экономической (финансовой) деятельности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земельных и им</w:t>
            </w:r>
            <w:r>
              <w:t>ущественных отношений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2.3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proofErr w:type="gramStart"/>
            <w:r>
              <w:t>Обеспечение приватизации в соответствии с нормами, установленными законодательством о приватизации государственного имущества, не используемого для обеспечения функций и полномочий казны Кабардино-</w:t>
            </w:r>
            <w:r>
              <w:t>Балкарской Республики, а также приватизации на аукционной основе имущества, закрепленного на вещном праве за унитарными предприятиями и учреждениями Кабардино-Балкарской Республики</w:t>
            </w:r>
            <w:proofErr w:type="gramEnd"/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земельных и имущественных отношений Кабардино</w:t>
            </w:r>
            <w:r>
              <w:t>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ликвидации или реорганизация государственных унитарных предприятий Кабардино-Балкарской Республики, имеющих отрицательный финансовый результат деятельности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земельных и имущественных отношений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приватизации акций и долей хозяйственных обществ, осуществляющих деятельность на товарных рынках с развитой конкуренцией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земельн</w:t>
            </w:r>
            <w:r>
              <w:t>ых и имущественных отношений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</w:t>
            </w:r>
            <w:r>
              <w:t>ления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2024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приватизации либо перепрофилирования (изменения целевого назначения имущества) муниципального имущества, не соответствующего требованиям отнесения к кате</w:t>
            </w:r>
            <w:r>
              <w:t>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Осуществление мероприятий по внутреннему обеспечению соответствия требованиям антимонопольного законодательства (антимонопольного </w:t>
            </w:r>
            <w:proofErr w:type="spellStart"/>
            <w:r>
              <w:t>комплаенса</w:t>
            </w:r>
            <w:proofErr w:type="spellEnd"/>
            <w:r>
              <w:t>)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исполнительные органы государственной власти Кабардино-Балкарской Республики, местные администрации муни</w:t>
            </w:r>
            <w:r>
              <w:t>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Обеспечение опубликования и актуализации на официальных сайтах государственных органов Кабардино-Балкарской Республики и муниципальных образований в </w:t>
            </w:r>
            <w:r>
              <w:lastRenderedPageBreak/>
              <w:t>сети Интернет информации о земельных участках, формирование которы</w:t>
            </w:r>
            <w:r>
              <w:t>х предусмотрено для целей жилищного и иного строительства, в целях развития конкуренции в сфере распоряжения земельными ресурсами, находящимися в государственной собственности Кабардино-Балкарской Республики или муниципальной собственности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</w:t>
            </w:r>
            <w:r>
              <w:t>ерство земельных и имущественных отношений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Мероприятия по развитию конкуренции при предоставлении государственных преференций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исполнительные органы государственной власти Кабардино-Балкарской Республики,</w:t>
            </w:r>
            <w:r>
              <w:t xml:space="preserve">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Создание и ведение единого реестра государственных преференций по предоставлению государственных финансовых и имущественных преференций органами государственной власти Кабардино-Балкарской Республики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31 декабря 2023 г.</w:t>
            </w:r>
          </w:p>
          <w:p w:rsidR="00FE48CF" w:rsidRDefault="001B0C2E">
            <w:pPr>
              <w:pStyle w:val="ConsPlusNormal0"/>
              <w:jc w:val="center"/>
            </w:pPr>
            <w:r>
              <w:t>(далее - постоянно)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</w:t>
            </w:r>
            <w:r>
              <w:t>омического развития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Создание системы контроля целевого использования государственных преференций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развития Кабардино-Балкарской Республики, исполнительные органы государственн</w:t>
            </w:r>
            <w:r>
              <w:t>ой власти Кабардино-Балкарской Республики,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Включение информации об эффективности предоставления и использования государственных преференций в доклады о состоянии и развитии конкуренции на </w:t>
            </w:r>
            <w:r>
              <w:t>товарных рынках Кабардино-Балкарской Республики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развития Кабардино-Балкарской Республики, исполнительные органы государственной власти Кабардино-Балкарской Республики,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Обеспечение обучения государственных гражданских служащих Кабардино-Балкарской Республики и работников подведомственных предприятий и учреждений основам государственной политики по развитию конкуренции и антимонопольного </w:t>
            </w:r>
            <w:r>
              <w:lastRenderedPageBreak/>
              <w:t>законодательства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Управлен</w:t>
            </w:r>
            <w:r>
              <w:t>ие Федеральной антимонопольной службы по Кабардино-Балкарской Республике, исполнительные органы государственной власти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Проведение публичных обсуждений практики реализации мероприятий государственной политики по развитию </w:t>
            </w:r>
            <w:r>
              <w:t xml:space="preserve">конкуренции с участием бизнес-сообщества в целях </w:t>
            </w:r>
            <w:proofErr w:type="gramStart"/>
            <w:r>
              <w:t>повышения информационной открытости деятельности органов государственной власти Кабардино-Балкарской Республики</w:t>
            </w:r>
            <w:proofErr w:type="gramEnd"/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не менее двух раз в год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Управление Федеральной антимонопольной службы по Кабардино-Балкарской Р</w:t>
            </w:r>
            <w:r>
              <w:t>еспублике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Мероприятия в отдельных отраслях (в сферах) экономики (видах деятельности)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исполнительные органы государственной власти Кабардино-Балкарской Республики,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возможности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 на региональном уровне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сельского хозяйства Кабардино-Ба</w:t>
            </w:r>
            <w:r>
              <w:t>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Увеличение количества субъектов малого и среднего предпринимательства, включая крестьянские фермерские хозяйства и сельскохозяйственные кооперативы, получивших субсидии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сельского хозяйства Кабардино-Ба</w:t>
            </w:r>
            <w:r>
              <w:t>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Разработка мер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просвещения и науки Кабардин</w:t>
            </w:r>
            <w:r>
              <w:t>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8.4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доли организаций частной формы собственности в объеме выполненных работ по виду экономической деятельности "Строительство" не менее 91%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8.5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ликвидации или реорганизация унитарных предприятий, за исключением случаев, предусмотренных федеральными законами, на рынках услуг в сфере информа</w:t>
            </w:r>
            <w:r>
              <w:t xml:space="preserve">ционных технологий, в том числе на рынках программного обеспечения, программно-аппаратных комплексов </w:t>
            </w:r>
            <w:r>
              <w:lastRenderedPageBreak/>
              <w:t>(разработка, поддержка, развитие, внедрение, предоставление доступа, обеспечение функционирования)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цифрового развития Кабарди</w:t>
            </w:r>
            <w:r>
              <w:t>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8.6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Анализ влияния немонетарных факторов (НМФИ) на региональных товарных рынках на инфляцию в Кабардино-Балкарской Республике. Выработка плана мероприятий по снижению влияния НМФИ на инфляцию и реализация предлагаемых мер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не менее</w:t>
            </w:r>
            <w:r>
              <w:t xml:space="preserve"> двух раз в год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Отделение Банка России - Национальный банк по Кабардино-Балкарской Республике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8.7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возможности оформления документов по подключению (технологическому присоединению) объектов капитального строительства к сетям газораспределения ч</w:t>
            </w:r>
            <w:r>
              <w:t>ерез многофункциональные центры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экономического развития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8.8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Расширение номенклатуры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8.9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доли организаций частной формы собственности, осуществляющих деятельность по производству электроэнергии на розничном рынке, не менее 30 пр</w:t>
            </w:r>
            <w:r>
              <w:t>оцентов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614" w:type="dxa"/>
          </w:tcPr>
          <w:p w:rsidR="00FE48CF" w:rsidRDefault="001B0C2E">
            <w:pPr>
              <w:pStyle w:val="ConsPlusNormal0"/>
              <w:jc w:val="center"/>
            </w:pPr>
            <w:r>
              <w:t>8.10</w:t>
            </w:r>
          </w:p>
        </w:tc>
        <w:tc>
          <w:tcPr>
            <w:tcW w:w="3515" w:type="dxa"/>
          </w:tcPr>
          <w:p w:rsidR="00FE48CF" w:rsidRDefault="001B0C2E">
            <w:pPr>
              <w:pStyle w:val="ConsPlusNormal0"/>
              <w:jc w:val="both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029" w:type="dxa"/>
          </w:tcPr>
          <w:p w:rsidR="00FE48CF" w:rsidRDefault="001B0C2E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2891" w:type="dxa"/>
          </w:tcPr>
          <w:p w:rsidR="00FE48CF" w:rsidRDefault="001B0C2E">
            <w:pPr>
              <w:pStyle w:val="ConsPlusNormal0"/>
              <w:jc w:val="both"/>
            </w:pPr>
            <w:r>
              <w:t>Министерство просвещения и науки Кабардино-Балкарской Республики</w:t>
            </w:r>
          </w:p>
        </w:tc>
      </w:tr>
    </w:tbl>
    <w:p w:rsidR="00FE48CF" w:rsidRDefault="00FE48CF">
      <w:pPr>
        <w:pStyle w:val="ConsPlusNormal0"/>
        <w:jc w:val="both"/>
      </w:pPr>
    </w:p>
    <w:p w:rsidR="00FE48CF" w:rsidRDefault="001B0C2E">
      <w:pPr>
        <w:pStyle w:val="ConsPlusTitle0"/>
        <w:jc w:val="center"/>
        <w:outlineLvl w:val="1"/>
      </w:pPr>
      <w:r>
        <w:t xml:space="preserve">II. </w:t>
      </w:r>
      <w:proofErr w:type="gramStart"/>
      <w:r>
        <w:t>Мероприятия в отдельных отраслях (сферах, товарных</w:t>
      </w:r>
      <w:proofErr w:type="gramEnd"/>
    </w:p>
    <w:p w:rsidR="00FE48CF" w:rsidRDefault="001B0C2E">
      <w:pPr>
        <w:pStyle w:val="ConsPlusTitle0"/>
        <w:jc w:val="center"/>
      </w:pPr>
      <w:proofErr w:type="gramStart"/>
      <w:r>
        <w:t>рынках</w:t>
      </w:r>
      <w:proofErr w:type="gramEnd"/>
      <w:r>
        <w:t>) экономики в Кабардино-Балкарской Республике</w:t>
      </w:r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sectPr w:rsidR="00FE48CF" w:rsidSect="005F7B2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1287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2324"/>
        <w:gridCol w:w="1417"/>
        <w:gridCol w:w="2154"/>
        <w:gridCol w:w="1361"/>
        <w:gridCol w:w="1361"/>
        <w:gridCol w:w="1361"/>
        <w:gridCol w:w="1361"/>
        <w:gridCol w:w="1361"/>
        <w:gridCol w:w="1020"/>
        <w:gridCol w:w="737"/>
      </w:tblGrid>
      <w:tr w:rsidR="00FE48CF">
        <w:tc>
          <w:tcPr>
            <w:tcW w:w="566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N</w:t>
            </w:r>
          </w:p>
          <w:p w:rsidR="00FE48CF" w:rsidRDefault="001B0C2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Наименование мероприятия по содействию развитию конкуренции на рынке</w:t>
            </w:r>
          </w:p>
        </w:tc>
        <w:tc>
          <w:tcPr>
            <w:tcW w:w="2324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Результат выполнения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Срок реализации мероприятия</w:t>
            </w:r>
          </w:p>
        </w:tc>
        <w:tc>
          <w:tcPr>
            <w:tcW w:w="2154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На</w:t>
            </w:r>
            <w:r>
              <w:t>именование ключевого показателя, характеризующего развитие конкуренции на рынке</w:t>
            </w:r>
          </w:p>
        </w:tc>
        <w:tc>
          <w:tcPr>
            <w:tcW w:w="7825" w:type="dxa"/>
            <w:gridSpan w:val="6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Целевое значение ключевого показателя</w:t>
            </w:r>
          </w:p>
        </w:tc>
        <w:tc>
          <w:tcPr>
            <w:tcW w:w="73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Ответственный исполнитель </w:t>
            </w:r>
            <w:hyperlink w:anchor="P1170" w:tooltip="&lt;*&gt; Определение исполнителями мероприятий &quot;дорожной карты&quot; территориальных органов федеральных органов исполнительной власти, органов местного самоуправления имеет рекомендательный характер, участие в реализации соответствующих мероприятий осуществляется в пре">
              <w:r>
                <w:rPr>
                  <w:color w:val="0000FF"/>
                </w:rPr>
                <w:t>&lt;*&gt;</w:t>
              </w:r>
            </w:hyperlink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232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417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31.12.2022 (факт)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31.12.2023 (план)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31.12.2024 (план)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31.12.2025 (план)</w:t>
            </w:r>
          </w:p>
        </w:tc>
        <w:tc>
          <w:tcPr>
            <w:tcW w:w="2381" w:type="dxa"/>
            <w:gridSpan w:val="2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минимальное значение ключевого показателя </w:t>
            </w:r>
            <w:hyperlink w:anchor="P1171" w:tooltip="&lt;**&gt; Минимальные значения ключевых показателей установлены Национальным планом (&quot;дорожной картой&quot;) развития конкуренции в Российской Федерации на 2021 - 2025 годы, утвержденным распоряжением Правительства Российской Федерации от 2 сентября 2021 г. N 2424-р, а 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18708" w:type="dxa"/>
            <w:gridSpan w:val="12"/>
          </w:tcPr>
          <w:p w:rsidR="00FE48CF" w:rsidRDefault="001B0C2E">
            <w:pPr>
              <w:pStyle w:val="ConsPlusNormal0"/>
              <w:jc w:val="center"/>
            </w:pPr>
            <w:r>
              <w:t>Наименование отрасли (сферы, товарного рынка):</w:t>
            </w:r>
          </w:p>
        </w:tc>
      </w:tr>
      <w:tr w:rsidR="00FE48CF">
        <w:tc>
          <w:tcPr>
            <w:tcW w:w="18708" w:type="dxa"/>
            <w:gridSpan w:val="12"/>
          </w:tcPr>
          <w:p w:rsidR="00FE48CF" w:rsidRDefault="001B0C2E">
            <w:pPr>
              <w:pStyle w:val="ConsPlusNormal0"/>
              <w:jc w:val="center"/>
            </w:pPr>
            <w:proofErr w:type="gramStart"/>
            <w:r>
              <w:t>Описание текущей ситуации (исходная фактическая информация (в том числе в числовом выражении) в отношении ситуации и проблематики отрасли (сферы, товарного рынка) в Кабардино-Балкарской Республике, которая включает в том числе: информацию о доле хозяйствую</w:t>
            </w:r>
            <w:r>
              <w:t>щих субъектов частной формы собственности на товарном рынке; характерные особенности товарного рынка с описанием текущей ситуации, анализом основных проблем и методов их решения;</w:t>
            </w:r>
            <w:proofErr w:type="gramEnd"/>
            <w:r>
              <w:t xml:space="preserve"> характеристику основных административных и экономических барьеров входа на со</w:t>
            </w:r>
            <w:r>
              <w:t xml:space="preserve">ответствующий товарный рынок; оценку состояния конкурентной среды </w:t>
            </w:r>
            <w:proofErr w:type="gramStart"/>
            <w:r>
              <w:t>бизнес-объединениями</w:t>
            </w:r>
            <w:proofErr w:type="gramEnd"/>
            <w:r>
              <w:t xml:space="preserve"> и потребителями; перспективы развития рынка)</w:t>
            </w: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дошкольного образования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в 2022 году дошкольное образование обеспечивали 265 образовательных организаций, в том числе 8 негосударственных (в 2021 году - 260 образовательных организаций, в том числе 8 негосударственных).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 состоянию на 1 января 20</w:t>
            </w:r>
            <w:r>
              <w:t>23 г. дошкольное образование получали 49572 ребенка, в частных организациях, у индивидуальных предпринимателей - 464 ребенка (на 1 января 2022 г. - 50536 детей, в частных организациях, у индивидуальных предпринимателей - 453 ребенка).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 целях поддержки час</w:t>
            </w:r>
            <w:r>
              <w:t xml:space="preserve">тных образовательных организаций республики постановлением Правительства Кабардино-Балкарской Республики от 28 июня 2021 г. N 139-ПП утвержден </w:t>
            </w:r>
            <w:hyperlink r:id="rId15" w:tooltip="Постановление Правительства КБР от 28.06.2021 N 139-ПП (ред. от 13.03.2023) &quot;Об утверждении Порядка предоставления из республиканского бюджета Кабардино-Балкарской Республики субсидий частным образовательным организациям на возмещение затрат на оплату труда, п">
              <w:r>
                <w:rPr>
                  <w:color w:val="0000FF"/>
                </w:rPr>
                <w:t>Порядок</w:t>
              </w:r>
            </w:hyperlink>
            <w:r>
              <w:t xml:space="preserve"> предоставления субсидий из республиканского бюджета Кабардино-Балкарской Республики субсидий частным образовательным организациям на возмещение затрат на оплату труда, приобретен</w:t>
            </w:r>
            <w:r>
              <w:t>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которым</w:t>
            </w:r>
            <w:proofErr w:type="gramEnd"/>
            <w:r>
              <w:t xml:space="preserve"> ежегодно проводится открытый конкурс по отбору претендентов на получение указанной субсидии.</w:t>
            </w:r>
            <w:r>
              <w:t xml:space="preserve"> Отбор проходят все учреждения, подавшие заявление и соответствующие критериям, установленным </w:t>
            </w:r>
            <w:hyperlink r:id="rId16" w:tooltip="Постановление Правительства КБР от 28.06.2021 N 139-ПП (ред. от 13.03.2023) &quot;Об утверждении Порядка предоставления из республиканского бюджета Кабардино-Балкарской Республики субсидий частным образовательным организациям на возмещение затрат на оплату труда, п">
              <w:r>
                <w:rPr>
                  <w:color w:val="0000FF"/>
                </w:rPr>
                <w:t>Порядком</w:t>
              </w:r>
            </w:hyperlink>
            <w:r>
              <w:t xml:space="preserve">. В 2022 году 7 негосударственным организациям, оказывающим услуги дошкольного образования на территории Кабардино-Балкарской Республики, субсидия предоставлена в размере 13,6 </w:t>
            </w:r>
            <w:proofErr w:type="gramStart"/>
            <w:r>
              <w:t>млн</w:t>
            </w:r>
            <w:proofErr w:type="gramEnd"/>
            <w:r>
              <w:t xml:space="preserve"> рублей.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Министерством просвещения и науки Кабар</w:t>
            </w:r>
            <w:r>
              <w:t>дино-Балкарской Республики совместно с муниципальными образованиями республики продолжается работа по созданию условий максимальной доступности услуг дошкольного образования, в том числе для детей в возрасте от 2 месяцев до 3 лет.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Перспективным направление</w:t>
            </w:r>
            <w:r>
              <w:t>м доступности услуг дошкольного образования является развитие вариативных форм работы с детьми, не посещающими дошкольные образовательные организациями. Для удовлетворения запросов родителей, имеющих детей раннего возраста, на представление услуг дошкольно</w:t>
            </w:r>
            <w:r>
              <w:t>го образования, открыты группы кратковременного пребывания.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Вместе с тем существует ряд проблем, затрудняющих развитие конкуренции в сфере образования.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Актуальной остается необходимость лицензирования образовательной деятельности. По данным Управления Феде</w:t>
            </w:r>
            <w:r>
              <w:t>ральной налоговой службы по Кабардино-Балкарской Республике на территории республики функционирует 8 юридических лиц и индивидуальных предпринимателей, оказывающих услуги по дошкольному образованию и не имеющих лицензию на осуществление образовательной дея</w:t>
            </w:r>
            <w:r>
              <w:t xml:space="preserve">тельности. Остается высоким уровень затрат при входе на рынок на организацию и содержание образовательных организаций. В соответствии с </w:t>
            </w:r>
            <w:r>
              <w:lastRenderedPageBreak/>
              <w:t xml:space="preserve">Федеральным </w:t>
            </w:r>
            <w:hyperlink r:id="rId17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29</w:t>
            </w:r>
            <w:r>
              <w:t xml:space="preserve"> декабря 2012 г. N 273-ФЗ "Об образовании в Российской Федерации" частные образовательные организации покрывают свои затраты на выплату заработной платы работникам и оплату учебных расходов за счет субсидий из средств регионального бюджета. Однако компенса</w:t>
            </w:r>
            <w:r>
              <w:t>ция расходов на содержание имущества, аренду помещений, коммунальные платежи и иных расходов для частных образовательных организаций действующим законодательством не предусмотрена. В этой связи себестоимость услуг таких организаций, включающая еще и прибыл</w:t>
            </w:r>
            <w:r>
              <w:t>ь учредителя, покрываемая за счет родительской платы, значительно выше, чем для государственных, муниципальных организаций.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Федеральный закон допускает взимание государственными и муниципальными образовательными организациями платы за услуги по присмотру и</w:t>
            </w:r>
            <w:r>
              <w:t xml:space="preserve"> ухода за детьми, но детально регулирует недопустимость включения в состав этой платы определенных видов расходов на содержание имущества, поскольку расходы на содержание муниципального и государственного имущества должны оплачиваться за счет бюджета соотв</w:t>
            </w:r>
            <w:r>
              <w:t>етствующего уровня.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Как следствие, частные образовательные организации дошкольного и общего образования в силу норм, содержащихся в законодательстве об образовании, не имеют возможности конкурировать с государственными и муниципальными дошкольными образова</w:t>
            </w:r>
            <w:r>
              <w:t>тельными организациями в части стоимости оказываемых услуг.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Таким образом, конкуренция между муниципальными и частными образовательными организациями имеет место только за ограниченный контингент потребителей услуг, имеющих возможность и готовых нести допо</w:t>
            </w:r>
            <w:r>
              <w:t>лнительные затраты для получения образовательных услуг более высокого качества.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реализуется программа поддержки частных дошкольных образовательных учреждений в части создания дополнительных мест для детей в возрасте от 1.5</w:t>
            </w:r>
            <w:r>
              <w:t xml:space="preserve"> до 3 лет. Порядок и условия предоставления субсидий на создание дополнительных мест регламентируется </w:t>
            </w:r>
            <w:hyperlink r:id="rId18" w:tooltip="Постановление Правительства КБР от 31.05.2021 N 123-ПП &quot;Об утверждении Порядка предоставления субсидий из республиканского бюджета Кабардино-Балкарской Республики на создание дополнительных мест для детей в возрасте от 1,5 до 3 лет любой направленности в орг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Кабардино-Балкарской Республики от 31 мая 2021 г. N 123-ПП.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настоящее время учреждениям предоставлена субсидия из республиканского бюджета Кабардино-Балкарской Республики на создание 10 дополнительных мест для детей в </w:t>
            </w:r>
            <w:r>
              <w:t xml:space="preserve">возрасте от 1,5 до 3 лет, заключены государственные контракты, закуплено оборудование. На реализацию указанного мероприятия в 2022 году было предусмотрено 1,2 </w:t>
            </w:r>
            <w:proofErr w:type="gramStart"/>
            <w:r>
              <w:t>млн</w:t>
            </w:r>
            <w:proofErr w:type="gramEnd"/>
            <w:r>
              <w:t xml:space="preserve"> рублей. Норматив стоимости оснащения одного места средствами обучения и воспитания составляет</w:t>
            </w:r>
            <w:r>
              <w:t xml:space="preserve"> 123,4 тыс. рублей. Обстоятельства или действия, препятствующие или затрудняющие, ограничивающие хозяйствующим субъектам начало деятельности на рынке услуг дошкольного образования в Кабардино-Балкарской Республике, отсутствуют.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</w:t>
            </w:r>
            <w:r>
              <w:t>рство просвещения и науки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1.1. Создание информационного и консультационного поля для хозяйствующих субъектов частной формы собственности, желающих работать в сфере дошкольного образования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предоставление консультаций хозяйствующим субъектам частной формы собственности, желающим работать в сфере дошкольного образования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детей, получающих образование в организациях частной формы собственности, от общего числа детей, получа</w:t>
            </w:r>
            <w:r>
              <w:t>ющих образование,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1.2. </w:t>
            </w:r>
            <w:proofErr w:type="gramStart"/>
            <w:r>
              <w:t xml:space="preserve">Предоставление субсидий из республиканского бюджета Кабардино-Балкарской Республики на финансовое обеспечение получения дошкольного образования в частных дошкольных образовательных организациях, осуществляющих образовательную </w:t>
            </w:r>
            <w:r>
              <w:lastRenderedPageBreak/>
              <w:t>деятельность по имеющим г</w:t>
            </w:r>
            <w:r>
              <w:t>осударственную аккредитацию основным общеобразовательным программам путем отбора заявок, удовлетворяющих установленным требованиям</w:t>
            </w:r>
            <w:proofErr w:type="gramEnd"/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обеспечение равных условий получения образовательных услуг для детей в учреждениях различных форм собственности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</w:t>
            </w:r>
            <w:r>
              <w:t>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обучающихся дошкольного возраста в частных образовательных организациях, у индивидуальных предпринимателей, реализующих </w:t>
            </w:r>
            <w:r>
              <w:lastRenderedPageBreak/>
              <w:t>основные общеобразовательные программы - образовательные программы дошкольного образования, в общей численности обучающихся дош</w:t>
            </w:r>
            <w:r>
              <w:t>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1,6, но не менее 1 частной организации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1.3. Ведение открытого реестра выданных муниципальных преференций частным дошкольным образовательным организациям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прозрачности предоставления преференций, повышение уровня информированности организаций и населения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среднего профессионального образования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Конкурентная среда на рынке услуг среднего профессионального образования в Кабардино-Балкарской Республике характеризуется существенным доминированием бюджетных профессиональных образовательных организаций над негосударственными (частными) организациями.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</w:t>
            </w:r>
            <w:r>
              <w:t xml:space="preserve"> республике функционируют 18 образовательных организаций среднего профессионального образования, организующих реализацию основных профессиональных образовательных программ, из них 9 находятся в ведении Министерства просвещения и науки Кабардино-Балкарской </w:t>
            </w:r>
            <w:r>
              <w:t xml:space="preserve">Республики (обучаются 9145 студентов), 4 колледжа осуществляют деятельность на базе федерального государственного бюджетного образовательного учреждения высшего образования "Кабардино-Балкарский государственный университет им. Х.М. </w:t>
            </w:r>
            <w:proofErr w:type="spellStart"/>
            <w:r>
              <w:t>Бербекова</w:t>
            </w:r>
            <w:proofErr w:type="spellEnd"/>
            <w:r>
              <w:t>" (обучаются 51</w:t>
            </w:r>
            <w:r>
              <w:t>65 студентов), 1 колледж - на базе федерального государственного бюджетного</w:t>
            </w:r>
            <w:proofErr w:type="gramEnd"/>
            <w:r>
              <w:t xml:space="preserve"> </w:t>
            </w:r>
            <w:proofErr w:type="gramStart"/>
            <w:r>
              <w:t xml:space="preserve">образовательного учреждения высшего образования "Кабардино-Балкарский государственный аграрный университет им В.М. </w:t>
            </w:r>
            <w:proofErr w:type="spellStart"/>
            <w:r>
              <w:t>Кокова</w:t>
            </w:r>
            <w:proofErr w:type="spellEnd"/>
            <w:r>
              <w:t>" (обучаются 650 студентов), 1 колледж на базе федерального</w:t>
            </w:r>
            <w:r>
              <w:t xml:space="preserve"> государственного бюджетного образовательного учреждения высшего образования "Северо-Кавказский государственный институт искусств" (80 студентов), 1 частная профессиональная образовательная организация "Медицинский колледж "Призвание" (1872 студента), 2 ав</w:t>
            </w:r>
            <w:r>
              <w:t>тономные некоммерческие профессиональные образовательные организации - "Кабардино-Балкарский колледж кооперации, экономики и права" и "Социально-экономический колледж "Развитие" (17 студентов).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Создание условий для развития конкуренции на рынке услуг в сфе</w:t>
            </w:r>
            <w:r>
              <w:t>ре среднего профессионального образования - развитие сектора частных образовательных организаций, повышение уровня материально-технического оснащения учреждений.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>Источник информации: Министерство просвещения и науки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2.1. Проведение ежегодного публичного конкурса по распределению контрольных цифр приема на </w:t>
            </w:r>
            <w:proofErr w:type="gramStart"/>
            <w:r>
              <w:t>обучение по профессиям</w:t>
            </w:r>
            <w:proofErr w:type="gramEnd"/>
            <w:r>
              <w:t>, специальностям и (или) укрупненным группам специальностей за счет бюджетных ассигнований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доступности услуг частного среднего проф</w:t>
            </w:r>
            <w:r>
              <w:t>ессионального образования для населения, обеспечение равных условий деятельности организаций среднего профессионального образования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детей, получающих образование в организациях частной формы собственности, от общего числа детей, получ</w:t>
            </w:r>
            <w:r>
              <w:t>ающих образование,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2.2. Привлечение профессиональных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равных условий деятельности организаций среднего профессионал</w:t>
            </w:r>
            <w:r>
              <w:t>ьного образования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обучающихся в частных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в общем числе обучающихся в обра</w:t>
            </w:r>
            <w:r>
              <w:t xml:space="preserve">зовательных организациях, реализующих основные профессиональные образовательные программы - образовательные программы среднего профессионального </w:t>
            </w:r>
            <w:r>
              <w:lastRenderedPageBreak/>
              <w:t>образования,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5, но не менее 1 частной организации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2.3. Организация мероприятий в специализированном центре компетенций "</w:t>
            </w:r>
            <w:proofErr w:type="spellStart"/>
            <w:r>
              <w:t>Ворлдскиллс</w:t>
            </w:r>
            <w:proofErr w:type="spellEnd"/>
            <w:r>
              <w:t xml:space="preserve"> Россия" "Медицинский и социальный уход", созданном на базе частной профессиональной образовательной организации "Медицинский колледж "Призвание"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привлечение профессиональных </w:t>
            </w:r>
            <w:r>
              <w:t>организаций частной формы собственности к участию в чемпионатах и конкурсах профессионального мастерства "</w:t>
            </w:r>
            <w:proofErr w:type="spellStart"/>
            <w:r>
              <w:t>Ворлдскиллс</w:t>
            </w:r>
            <w:proofErr w:type="spellEnd"/>
            <w:r>
              <w:t>" и "</w:t>
            </w:r>
            <w:proofErr w:type="spellStart"/>
            <w:r>
              <w:t>Абилимпикс</w:t>
            </w:r>
            <w:proofErr w:type="spellEnd"/>
            <w:r>
              <w:t>"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дополнительного образования детей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рамках реализации мероприятий федерального </w:t>
            </w:r>
            <w:hyperlink r:id="rId19" w:tooltip="&quot;Паспорт национального проекта &quot;Образование&quot; (утв. президиумом Совета при Президенте РФ по стратегическому развитию и национальным проектам, протокол от 24.12.2018 N 16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"Успех каждого ребенка": </w:t>
            </w:r>
            <w:proofErr w:type="gramStart"/>
            <w:r>
              <w:t>"Создание новых мест в образовательных организациях различных типов для реализации дополнительных общеразвивающих прогр</w:t>
            </w:r>
            <w:r>
              <w:t>амм всех направленностей" и "Создание регионального центра выявления, поддержки и развития способностей и талантов у детей и молодежи", в 2022 году в республике показатель по охвату детей в возрасте от 5 до 18 лет программами дополнительного образования со</w:t>
            </w:r>
            <w:r>
              <w:t>ставлял 111383 человека (в 2021 году - 107488 человек).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системе образования Кабардино-Балкарской Республики функционируют 20 негосударственных организации (в том числе индивидуальные предприниматели), имеющие лицензии на реализацию дополнительных общеобр</w:t>
            </w:r>
            <w:r>
              <w:t xml:space="preserve">азовательных программ детей и взрослых. На территории Кабардино-Балкарской Республики осуществляют деятельность 429 государственных и муниципальных образовательных организаций, имеющих лицензию на реализацию дополнительных общеобразовательных программ для </w:t>
            </w:r>
            <w:r>
              <w:t>детей и взрослых.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2020 году в республике создан мобильный технопарк "</w:t>
            </w:r>
            <w:proofErr w:type="spellStart"/>
            <w:r>
              <w:t>Кванториум</w:t>
            </w:r>
            <w:proofErr w:type="spellEnd"/>
            <w:r>
              <w:t xml:space="preserve">" и внедрена целевая модель развития региональной системы дополнительного образования детей. </w:t>
            </w:r>
            <w:proofErr w:type="gramStart"/>
            <w:r>
              <w:t>Мобильный технопарк "</w:t>
            </w:r>
            <w:proofErr w:type="spellStart"/>
            <w:r>
              <w:t>Кванториум</w:t>
            </w:r>
            <w:proofErr w:type="spellEnd"/>
            <w:r>
              <w:t>" (далее - Мобильный технопарк) создан как структур</w:t>
            </w:r>
            <w:r>
              <w:t xml:space="preserve">ное подразделение Государственного бюджетного общеобразовательного учреждения "Детская академия творчества "Солнечный город" </w:t>
            </w:r>
            <w:proofErr w:type="spellStart"/>
            <w:r>
              <w:t>Минпросвещения</w:t>
            </w:r>
            <w:proofErr w:type="spellEnd"/>
            <w:r>
              <w:t xml:space="preserve"> КБР в целях обеспечения доступности для детей, проживающих в сельской местности и малых городах, образовательной инф</w:t>
            </w:r>
            <w:r>
              <w:t>раструктуры для обеспечения освоения обучающимися актуальных и востребованных знаний, навыков и компетенций в рамках дополнительных общеобразовательных программ технической и естественно-научной направленности по предметам области "Технология</w:t>
            </w:r>
            <w:proofErr w:type="gramEnd"/>
            <w:r>
              <w:t>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Мобильном</w:t>
            </w:r>
            <w:r>
              <w:t xml:space="preserve"> технопарке определены направления: "Виртуальная и дополненная реальность", "Геоинформационные технологии", "</w:t>
            </w:r>
            <w:proofErr w:type="spellStart"/>
            <w:r>
              <w:t>Аэротехнологии</w:t>
            </w:r>
            <w:proofErr w:type="spellEnd"/>
            <w:r>
              <w:t>", "Промышленная робототехника", "Промышленный дизайн", "</w:t>
            </w:r>
            <w:proofErr w:type="spellStart"/>
            <w:r>
              <w:t>Хайтек</w:t>
            </w:r>
            <w:proofErr w:type="spellEnd"/>
            <w:r>
              <w:t>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Дальнейшему развитию рынка услуг дополнительного образования детей </w:t>
            </w:r>
            <w:r>
              <w:t>будет способствовать создание новых мест дополнительного образования детей в 2023 году в рамках проекта "Успех каждого ребенка" национального проекта "Образование".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 соответствии с Планом мероприятий по реализации Концепции развития дополнительного образо</w:t>
            </w:r>
            <w:r>
              <w:t>вания детей с целью координации деятельности образовательных учреждений, реализующих дополнительные образовательные программы естественно-научной, технической, художественно-эстетической, туристско-краеведческой и других направленностей и повышения качеств</w:t>
            </w:r>
            <w:r>
              <w:t>а обучения по ним в республике созданы три ресурсных центра.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Условием для развития конкурентной среды на рынке услуг дополнительного образования детей является развитие механизмов государственно-частного и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Основными векто</w:t>
            </w:r>
            <w:r>
              <w:t>рами развития конкуренции в секторе дополнительного образования детей являются: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увеличение сети частных организаций, предоставляющих услуги дополнительного образования детей;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обеспечение загрузки существующих муниципальных организаций дополнительного образ</w:t>
            </w:r>
            <w:r>
              <w:t>ования в полном объеме.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Административные барьеры на рынке услуг дополнительного образования ярко не выражены. По мнению предпринимателей, трудности испытываются относительно процедур, связанных с лицензированием, регистрацией бизнеса, арендой зданий, приоб</w:t>
            </w:r>
            <w:r>
              <w:t>ретением зданий, помещений, получением земель под строительство, получением разрешения на строительство, проверками надзорных органов.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Одним из направлений развития системы дополнительного образования детей является повышение качества предоставляемой услуг</w:t>
            </w:r>
            <w:r>
              <w:t>и, что реализуется за счет предоставления вариативных форм дополнительного образования детей с целью удовлетворения разнообразных запросов граждан, повышения квалификации педагогических кадров, развития современных направлений дополнительного образования.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просвещения и науки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3.1. Систематизация данных об индивидуальных предпринимателях и организациях (кроме </w:t>
            </w:r>
            <w:r>
              <w:lastRenderedPageBreak/>
              <w:t>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</w:t>
            </w:r>
            <w:r>
              <w:t>жи в возрасте от 5 до 18 лет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повышение уровня информированности организаций и </w:t>
            </w:r>
            <w:r>
              <w:lastRenderedPageBreak/>
              <w:t xml:space="preserve">населения, расширение </w:t>
            </w:r>
            <w:proofErr w:type="gramStart"/>
            <w:r>
              <w:t>круга потребителей организаций частной формы собственности</w:t>
            </w:r>
            <w:proofErr w:type="gramEnd"/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организаций частной формы собственности в </w:t>
            </w:r>
            <w:r>
              <w:lastRenderedPageBreak/>
              <w:t>сфере услуг дополнительного образования детей,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Министерство просвещения и науки </w:t>
            </w:r>
            <w:r>
              <w:lastRenderedPageBreak/>
              <w:t>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3.2. Внедрение системы персонифицированного финансирования дополнительного образования детей путем принятия соответствующих нормативных правовых актов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обеспечение </w:t>
            </w:r>
            <w:proofErr w:type="gramStart"/>
            <w:r>
              <w:t>возможности выбора программ дополнительного образования детей</w:t>
            </w:r>
            <w:proofErr w:type="gramEnd"/>
            <w:r>
              <w:t xml:space="preserve"> за счет средств бюджета в образ</w:t>
            </w:r>
            <w:r>
              <w:t>овательных организациях любой формы собственности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3.3. Оказание методической и консультативной помощи частным учреждениям дополнительного образования детей и физическим лицам по вопросам организации образовательной деятельности и порядку предоставления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уровня информированности организац</w:t>
            </w:r>
            <w:r>
              <w:t>ий и населения</w:t>
            </w:r>
          </w:p>
        </w:tc>
        <w:tc>
          <w:tcPr>
            <w:tcW w:w="1417" w:type="dxa"/>
          </w:tcPr>
          <w:p w:rsidR="00FE48CF" w:rsidRDefault="001B0C2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детского отдыха и оздоровления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на территории Кабардино-Балкарской Республики функционировало 42 детских государственных и муниципальных оздоровительных учреждения (в 2021 году - 48 учреждений).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 части поддержки частного бизнеса в развитии инфраструктуры детского отдыха в 2021 году заключены государственные контракты с оздоровительными учреждениями ООО ДОК "</w:t>
            </w:r>
            <w:proofErr w:type="spellStart"/>
            <w:r>
              <w:t>Атажукино</w:t>
            </w:r>
            <w:proofErr w:type="spellEnd"/>
            <w:r>
              <w:t>" на оказание услуг по отдыху и оздоровлению 400 детей; ООО ДОК "Родник" на оказа</w:t>
            </w:r>
            <w:r>
              <w:t>ние услуг по отдыху и оздоровлению 320 детей, ООО "Санаторий "Розовый фламинго" на оказание услуг по отдыху и оздоровлению 380 детей.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</w:t>
            </w:r>
            <w:proofErr w:type="gramStart"/>
            <w:r>
              <w:t>у ООО</w:t>
            </w:r>
            <w:proofErr w:type="gramEnd"/>
            <w:r>
              <w:t xml:space="preserve"> "Санаторий "Кавказ", ОАО "</w:t>
            </w:r>
            <w:proofErr w:type="spellStart"/>
            <w:r>
              <w:t>Каббалктурист</w:t>
            </w:r>
            <w:proofErr w:type="spellEnd"/>
            <w:r>
              <w:t>" было заключено 3 государственных контракта на оказание услуг по о</w:t>
            </w:r>
            <w:r>
              <w:t>здоровлению 1113 детей.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Условием для развития конкуренции на рынке услуг детского отдыха и оздоровления является развитие сектора негосударственных (немуниципальных) организаций отдыха и оздоровления детей.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Целевым показателем развития конкуренции рынка ус</w:t>
            </w:r>
            <w:r>
              <w:t>луг детского отдыха и оздоровления является 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</w:t>
            </w:r>
            <w:r>
              <w:t>евки по каждому типу организаций отдыха детей и их оздоровления), в общей численности детей этой категории, отдохнувших в организациях отдыха детей и</w:t>
            </w:r>
            <w:proofErr w:type="gramEnd"/>
            <w:r>
              <w:t xml:space="preserve"> их оздоровления соответствующего типа (стационарный загородный </w:t>
            </w:r>
            <w:r>
              <w:lastRenderedPageBreak/>
              <w:t>лагерь (приоритет), лагерь с дневным пребыв</w:t>
            </w:r>
            <w:r>
              <w:t>анием, палаточный лагерь, стационарно-оздоровительный лагерь труда и отдыха).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Привлечение частных организаций позволит </w:t>
            </w:r>
            <w:proofErr w:type="gramStart"/>
            <w:r>
              <w:t>обеспечить потребность в</w:t>
            </w:r>
            <w:proofErr w:type="gramEnd"/>
            <w:r>
              <w:t xml:space="preserve"> загородном отдыхе в полном объеме.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Необходима разработка нормативной базы государственной поддержки негосударств</w:t>
            </w:r>
            <w:r>
              <w:t>енных форм организации отдыха и оздоровления детей.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Предприниматели реализуют свои услуги на локальных рынках и рынках Кабардино-Балкарской Республики и Российской Федерации.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 мнению предпринимателей, испытываемые ими трудности на рынке услуг детского от</w:t>
            </w:r>
            <w:r>
              <w:t>дыха и оздоровления возникают в основном относительно процедур, связанных с лицензированием, регистрацией бизнеса, арендой зданий, приобретением зданий, помещений, получением земель под строительство, получением разрешения на строительство, проверками надз</w:t>
            </w:r>
            <w:r>
              <w:t>орных органов.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Поддержка частного бизнеса в развитии инфраструктуры детского отдыха за счет направления органами местного самоуправления средств муниципального бюджета незначительна, так как не обеспечивает всех затрат, которые несут организации отдыха дет</w:t>
            </w:r>
            <w:r>
              <w:t>ей. Кроме того,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Ключевыми векторами развития системы оздоровления и отдыха детей </w:t>
            </w:r>
            <w:r>
              <w:t>в регионе должны стать привлечение в сферу отдыха негосударственных организаций, переход от сезонного оздоровления к круглогодичному циклу, создание доступной среды в местах отдыха для детей-инвалидов, развитие детского туризма.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рамках "дорожной карты" п</w:t>
            </w:r>
            <w:r>
              <w:t xml:space="preserve">о содействию развития конкуренции на рынке услуг детского отдыха и оздоровления запланированы мероприятия, направленные на оказание организационно-методической и информационно-консультативной помощи частным образовательным организациям, оказывающим услуги </w:t>
            </w:r>
            <w:r>
              <w:t>по организации отдыха и оздоровления детей.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 информации Министерства труда и социальной защиты Кабардино-Балкарской Республики, в 2022 году в республике поддержка частного бизнеса в развитии инфраструктуры детского отдыха не осуществлялась, причина указа</w:t>
            </w:r>
            <w:r>
              <w:t>на не была.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Развитие рынка услуг детского отдыха и оздоровления на территории Кабардино-Балкарской Республики осуществляется за счет собственных средств хозяйствующих субъектов, в ведении которых находятся оздоровительные учреждения.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Таким образом, конкуре</w:t>
            </w:r>
            <w:r>
              <w:t xml:space="preserve">нция на рынке услуг детского отдыха и оздоровления в 2022 году являлась </w:t>
            </w:r>
            <w:proofErr w:type="spellStart"/>
            <w:r>
              <w:t>слаборазвивающейся</w:t>
            </w:r>
            <w:proofErr w:type="spellEnd"/>
            <w:r>
              <w:t>, в связи с отсутствием материальной поддержки доля организаций отдыха и оздоровления детей частной формы собственности не растет.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труда и социальной защиты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4.1. Формирование открытого реестра организаций отдыха и оздоровления, расположенных на территории республики, и размещение его в открытом доступе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уровн</w:t>
            </w:r>
            <w:r>
              <w:t>я информированности организаций и населения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труда и социальной защиты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4.2. Предоставление компенсации физическим лицам за приобретенные услуги отдыха и оздоровления детей в организациях отдыха и оздоровления, в том числе частной формы собственности, путем рассмотрения заявлений на получение компенсации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доступност</w:t>
            </w:r>
            <w:r>
              <w:t>и услуг отдыха и оздоровления детей, оказываемых организациями всех форм собственности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Получение детьми с ограниченными возможностями здоровья и детьми-инвалидами образования является одним из основных условий их успешной социализации, обеспечения их полноценного участия в жизни общества. Актуальным является развитие вариативных форм получен</w:t>
            </w:r>
            <w:r>
              <w:t>ия образования детьми, имеющими различные недостатки в физическом и (или) психическом развитии, в частности, инклюзивного образования. В этой связи встает задача психолого-педагогического сопровождения семей, воспитывающих детей с ограниченными возможностя</w:t>
            </w:r>
            <w:r>
              <w:t>ми здоровья, и оказания им комплекса услуг по месту жительства.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Для выполнения государственными образовательными организациями </w:t>
            </w:r>
            <w:proofErr w:type="spellStart"/>
            <w:r>
              <w:t>интернатного</w:t>
            </w:r>
            <w:proofErr w:type="spellEnd"/>
            <w:r>
              <w:t xml:space="preserve"> типа своих целей, задач, функций и качественного предоставления государственных услуг в области образования и воспитания необходимо определенное ресурсное обеспечение, способствующ</w:t>
            </w:r>
            <w:r>
              <w:t>ее повышению качества образования и воспитания.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До настоящего времени в Кабардино-Балкарской Республике не создана единая система ранней помощи и комплексной реабилитации детей с ограниченными возможностями здоровья, включая детей с установленной инвалидно</w:t>
            </w:r>
            <w:r>
              <w:t>стью, а также детей из двух других целевых групп, которая бы координировала деятельность различных ведомств и организаций, ответственных за осуществление мероприятий по медицинским, образовательным и социальным аспектам реабилитации, не соблюдается принцип</w:t>
            </w:r>
            <w:r>
              <w:t xml:space="preserve"> непрерывности и семейной ориентированности ранней</w:t>
            </w:r>
            <w:proofErr w:type="gramEnd"/>
            <w:r>
              <w:t xml:space="preserve"> помощи.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Одним из основных факторов, сдерживающих конкуренцию на данном рынке услуг, является низкая осведомленность населения о функционировании негосударственных (немуниципальных) организаций, оказывающих</w:t>
            </w:r>
            <w:r>
              <w:t xml:space="preserve"> услуги психолого-педагогического сопровождения детей с ограниченными возможностями здоровья. Это связано с отсутствием статистического учета подобных организаций. Данный вид деятельности не предусматривает непосредственного оказания медицинских или образо</w:t>
            </w:r>
            <w:r>
              <w:t>вательных услуг. Услуги по социализации и реабилитации не подлежат лицензированию.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Услуги психолого-педагогического сопровождения детей с ограниченными возможностями здоровья в республике оказывают как государственные, так и частные организации.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Услуги пси</w:t>
            </w:r>
            <w:r>
              <w:t>холого-педагогического сопровождения детей с ограниченными возможностями здоровья до 3 лет оказываются единственным в республике государственным бюджетным учреждением "Центр психолого-медико-социального сопровождения" Министерства просвещения и науки Кабар</w:t>
            </w:r>
            <w:r>
              <w:t>дино-Балкарской Республики. В подавляющем большинстве случаев для получения данных услуг родители детей до трех лет обращаются в частные организации.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просвещения и науки Кабардино-Балкарской Республики, органы местного сам</w:t>
            </w:r>
            <w:r>
              <w:t>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5.1. Оказание организационно-методической и информационно-консультативной помощи негосударственным (немуниципальным) организациям, оказывающим услуги по ранней диагностике, социализации и реабилитации детей с ограниченными возможностями здоровья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</w:t>
            </w:r>
            <w:r>
              <w:t xml:space="preserve"> доли хозяйствующих субъектов частной формы собственности в общем количестве хозяйствующих субъектов, оказывающих услуги по ранней диагностике, социализации и реабилитации детей с ограниченными возможностями здоровья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</w:t>
            </w:r>
            <w:r>
              <w:t>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  <w:gridSpan w:val="2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просвещения и науки Кабардино-Балкарской Республики, 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5.2. Мониторинг организаций, осуществляющих деятельность на рынке психолого-педагогического сопровождения детей с </w:t>
            </w:r>
            <w:r>
              <w:lastRenderedPageBreak/>
              <w:t>ограниченными возможностями здоровья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увеличение информированности населения об организациях на рынке </w:t>
            </w:r>
            <w:r>
              <w:lastRenderedPageBreak/>
              <w:t>психолого-педагогического сопровождения д</w:t>
            </w:r>
            <w:r>
              <w:t>етей с ограниченными возможностями здоровья, формирование перечня организаций, осуществляющих деятельность на рынке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детей с ограниченными возможностя</w:t>
            </w:r>
            <w:r>
              <w:t xml:space="preserve">ми здоровья (в возрасте </w:t>
            </w:r>
            <w:r>
              <w:lastRenderedPageBreak/>
              <w:t>до 3 лет), получающих услуги по ранней диагностике,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</w:t>
            </w:r>
            <w:r>
              <w:t>зрасте до 3 лет), получающих услуги по ранней диагностике, социализации и реабилитации,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75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5.3. Информационная и методическая поддержка специалистов, оказывающих услуги психологического, логопедического и дефектологического сопровождения детей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размещение соответствующей информации в сети Интернет в целях развития сектора частных организаций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</w:t>
            </w:r>
            <w:r>
              <w:t xml:space="preserve">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медицинских услуг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Количество медицинских организаций частной формы собственности, осуществляющих деятельность на территории Кабардино-Балкарской Республики, в 2022 году составляло 346 на 455 объектах (в 2021 году - 332 организации на 431 объекте).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реализации территориальн</w:t>
            </w:r>
            <w:r>
              <w:t xml:space="preserve">ой программы обязательного медицинского страхования Кабардино-Балкарской Республики в 2022 году участвовало 85 медицинских организаций (из которых 51 оказывала медицинскую помощь), в том числе 23 медицинские организации частной формы собственности (в 2021 </w:t>
            </w:r>
            <w:r>
              <w:t>году - 84 организации, в том числе 23 организации частной формы собственности).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Основными направлениями развития конкуренции на рынке медицинских услуг являются: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обеспечение участия медицинских организаций частной системы здравоохранения в представлении ме</w:t>
            </w:r>
            <w:r>
              <w:t>дицинских услуг в рамках территориальных программ обязательного медицинского страхования;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использование механизмов государственно-частного партнерства.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Население Кабардино-Балкарской Республики полностью обеспечено медицинской помощью, гарантированной Терр</w:t>
            </w:r>
            <w:r>
              <w:t>иториальной программой государственных гарантий бесплатного оказания гражданам медицинской помощи в Кабардино-Балкарской Республике.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Затраты на медицинскую помощь по обязательному медицинскому страхованию, оказанную негосударственными (немуниципальными) ме</w:t>
            </w:r>
            <w:r>
              <w:t>дицинскими организациями: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2021 году - 399646276,70 руб.;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>за 11 месяцев 2022 г. - 338037159,12 руб.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Затраты на медицинскую помощь по обязательному медицинскому страхованию, оказанную государственными и муниципальными медицинскими организациями на территор</w:t>
            </w:r>
            <w:r>
              <w:t>ии Кабардино-Балкарской Республики: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2021 году - 8356526314,65 руб.;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 11 месяцев 2021 г. - 8500572101,49 руб.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Кредиторская задолженность за счет средств ОМС по государственным учреждениям здравоохранения по состоянию на 1 января 2023 г. сложилась в разм</w:t>
            </w:r>
            <w:r>
              <w:t xml:space="preserve">ере 1070,0 </w:t>
            </w:r>
            <w:proofErr w:type="gramStart"/>
            <w:r>
              <w:t>млн</w:t>
            </w:r>
            <w:proofErr w:type="gramEnd"/>
            <w:r>
              <w:t xml:space="preserve"> руб., в связи с чем не представляется возможным выделять государственное задание в большем объеме негосударственному сектору.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году, как и в предыдущие годы активно развивался рынок медицинских услуг в республике в негосударственном се</w:t>
            </w:r>
            <w:r>
              <w:t>кторе.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было выдано 22 лицензии на право осуществления медицинской деятельности частным организациям и индивидуальным предпринимателям (в 2021 году - 25 лицензий).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настоящее время при наличии соответствующего образования и выполнения требований действующего законодательства препятствий и ограничений для хозяйствующих субъектов начинающих деятельность на рынке медицинских услуг, не имеется.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</w:t>
            </w:r>
            <w:r>
              <w:t>стерство здравоохранения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6.1. Методическая помощь при проведении процедуры лицензирования, консультирование по подготовке пакета документов для получения лицензий на право осуществления медицинской деятельности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д</w:t>
            </w:r>
            <w:r>
              <w:t>оступности вхождения субъектов предпринимательства в сферу предоставления медицинских услуг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здравоохранения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  <w:vMerge w:val="restart"/>
          </w:tcPr>
          <w:p w:rsidR="00FE48CF" w:rsidRDefault="001B0C2E">
            <w:pPr>
              <w:pStyle w:val="ConsPlusNormal0"/>
              <w:jc w:val="both"/>
            </w:pPr>
            <w:r>
              <w:t xml:space="preserve">6.2. Организация работ </w:t>
            </w:r>
            <w:proofErr w:type="gramStart"/>
            <w:r>
              <w:t>по внедрению услуги электронной записи на прием заявителя при подаче заявления на получение лицензии на осуществление</w:t>
            </w:r>
            <w:proofErr w:type="gramEnd"/>
            <w:r>
              <w:t xml:space="preserve"> медицинской деятельности</w:t>
            </w:r>
          </w:p>
        </w:tc>
        <w:tc>
          <w:tcPr>
            <w:tcW w:w="232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повышение доступности вхождения субъектов предпринимательства в сферу оказания медицинских</w:t>
            </w:r>
            <w:r>
              <w:t xml:space="preserve"> услуг</w:t>
            </w:r>
          </w:p>
        </w:tc>
        <w:tc>
          <w:tcPr>
            <w:tcW w:w="1417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на рынке медицинских услуг,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232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417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субъектов малого и среднего предпринимательства в организациях частной формы собственности на рынке медицинских </w:t>
            </w:r>
            <w:r>
              <w:lastRenderedPageBreak/>
              <w:t>услуг,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79,2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Всего на 1 января 2023 г. на территории Кабардино-Балкарской Республики розничную торговлю лекарственными препаратами для медицинского применения осуществляла 331 организация на 537 объектах частной формы собственности и 3 организации на 5 объектах государ</w:t>
            </w:r>
            <w:r>
              <w:t>ственной (муниципальной) формы собственности (в 2021 году 475 объектов частной формы собственности и 5 государственной (муниципальной) формы собственности.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Целевое значение ключевого показателя в дорожной карте по содействию развитию конкуренции на 2022 го</w:t>
            </w:r>
            <w:r>
              <w:t>д - 98,8%, фактически достигнутое значение ключевого показателя в 2022 году - 99%. Рынок характеризуется высоким уровнем развития конкуренции.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Факторы, влияющие на развитие рынка: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низкая обеспеченность аптечными пунктами малонаселенных отдаленных территори</w:t>
            </w:r>
            <w:r>
              <w:t>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наличие специфических требований к помещениям для размещения аптечных пунктов, высокая арендная плата;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присвоение уникального номера адреса объекта адресации в государственном адресном реестре (кода ФИАС) каждому адресу субъекта осуществления фармацевти</w:t>
            </w:r>
            <w:r>
              <w:t>ческой деятельности, многие объекты, где осуществляется фармацевтическая деятельность, не имели конкретных адресов с указанием улицы, дома, помещения;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с июля 2020 г. у </w:t>
            </w:r>
            <w:proofErr w:type="spellStart"/>
            <w:r>
              <w:t>хозсубъектов</w:t>
            </w:r>
            <w:proofErr w:type="spellEnd"/>
            <w:r>
              <w:t>, осуществляющих розничную торговлю лекарственными препаратами, медицинскими</w:t>
            </w:r>
            <w:r>
              <w:t xml:space="preserve"> изделиями, сопутствующими товарами, возникли проблемы с закупкой маркированных лекарственных препаратов.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Задачи по развитию конкуренции на рынке: снижение административных барьеров, обеспечение прозрачности и обеспечение равного доступа к лицензированию ф</w:t>
            </w:r>
            <w:r>
              <w:t>армацевтической деятельности организаций всех форм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здравоохранения Кабардино-Балкарской Республики, 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7.1. 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</w:t>
            </w:r>
            <w:r>
              <w:t>овли лекарственными препаратами, медицинскими изделиями и сопутствующими товарами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информационной грамотности предпринимателей, осуществляющих хозяйственную деятельность на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на рын</w:t>
            </w:r>
            <w:r>
              <w:t>ках розничной торговли лекарственными препаратами, медицинскими изделиями,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здравоохранения Кабардино-Балкарской Республики, 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7.2. Организация работ </w:t>
            </w:r>
            <w:proofErr w:type="gramStart"/>
            <w:r>
              <w:t>по внедрению услуги электронной записи на прием заявителя при подаче заявления на получение лицензии на осуществление</w:t>
            </w:r>
            <w:proofErr w:type="gramEnd"/>
            <w:r>
              <w:t xml:space="preserve"> фармацевтической деятельности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доступности вхождения субъектов предпринимательства в сферу торговли лекарс</w:t>
            </w:r>
            <w:r>
              <w:t xml:space="preserve">твенными </w:t>
            </w:r>
            <w:r>
              <w:lastRenderedPageBreak/>
              <w:t>препаратами, медицинскими изделиями и сопутствующими товарами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организаций частной формы собственности в сфере услуг розничной торговли лекарственными </w:t>
            </w:r>
            <w:r>
              <w:lastRenderedPageBreak/>
              <w:t>препаратами, медицинскими изделиями и сопутствующими товарами,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99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архитектурно-строительного проектирования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зарегистрировано 20 хозяйствующих субъектов, оказывающих услуги в отрасли архитектурно-строительного проектирования, доля субъектов частной формы собственности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Архитектурно-проектный комплекс в целом обесп</w:t>
            </w:r>
            <w:r>
              <w:t xml:space="preserve">ечивает потребность капитального строительства в проектных работах, но есть проблемные вопросы: недостаточная подготовка кадров в сфере архитектурно-строительного проектирования, отсутствие рациональной ценовой политики в отношении проектно-изыскательских </w:t>
            </w:r>
            <w:r>
              <w:t>работ, занижение заказчиками стоимости таких работ, низкое качество инженерных изысканий и оформления их результатов, отсутствие качественного отечественного программного обеспечения для выполнения проектных работ, использование устаревших программных комп</w:t>
            </w:r>
            <w:r>
              <w:t>лексов для осуществления проектных работ</w:t>
            </w:r>
            <w:proofErr w:type="gramEnd"/>
            <w:r>
              <w:t xml:space="preserve"> и подсчета смет, отсутствие единых стандартов, определяющих основные стандарты и правила проектирования с применением технологии информационного моделирования объекта (ВРМ-проектирование).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Основные направления по ра</w:t>
            </w:r>
            <w:r>
              <w:t>звитию конкуренции в сфере архитектурно-строительного проектирования: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устранение проблемных вопросов рынка архитектурно-строительного проектирования;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обеспечение равных условий при получении государственных и муниципальных заказов путем создания систем эле</w:t>
            </w:r>
            <w:r>
              <w:t>ктронных торгов и обеспечения равного доступа к ним всех субъектов хозяйственной деятельности;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размещение информации о торгах в дополнительных печатных изданиях, имеющих критерии по максимально охватываемой читательской аудитории;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повышение информационной </w:t>
            </w:r>
            <w:r>
              <w:t>открытости рынка.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Основными факторами, обеспечивающими развитие рынка архитектурно-строительного проектирования, являются значимость, придаваемая органами государственной власти Российской Федерации и Кабардино-Балкарской Республики вопросам обеспечения гр</w:t>
            </w:r>
            <w:r>
              <w:t>аждан современным комфортабельным жильем и комфортной городской средой и, как следствие, постоянно возрастающие объемы капитального строительства на территории республики.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Использование проектов повторного применения и типовых </w:t>
            </w:r>
            <w:proofErr w:type="gramStart"/>
            <w:r>
              <w:t>архитектурных решений</w:t>
            </w:r>
            <w:proofErr w:type="gramEnd"/>
            <w:r>
              <w:t xml:space="preserve"> (прежде</w:t>
            </w:r>
            <w:r>
              <w:t xml:space="preserve"> всего для объектов социальной инфраструктуры и многоквартирного жилищного строительства) обуславливает незначительное снижение потребности в проектировании таких объектов капитального строительства. Вместе с тем в республике ежегодно наращиваются объемы а</w:t>
            </w:r>
            <w:r>
              <w:t>рхитектурно-строительного проектирования объектов индивидуального жилищного строительства.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строительства и жилищно-коммунального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8.1. Проведение обучающих семинаров для специалис</w:t>
            </w:r>
            <w:r>
              <w:t>тов в области проектирования (не реже одного раза в год) по внедрению технологии информационного моделирования объекта (ВРМ-проектирование) и подготовке к переводу госзаказов на данную технологию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качества предоставляемых услуг в сфере архитектурно-строительного проектирования путем обеспечения достаточного уровня квалификации специалистов, </w:t>
            </w:r>
            <w:r>
              <w:lastRenderedPageBreak/>
              <w:t>задействованных в данной сфере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</w:t>
            </w:r>
            <w:r>
              <w:t xml:space="preserve"> архитектурно-строительного проектирования,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строительства и жилищно-коммунального хозяйства Кабардино-Балкарской Республики, 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8.2. Информирование заинтересованных лиц о порядке проведения экспертизы проектной документации и результатов инженерных изысканий, а также средней рыночной стоимости работ путем размещения соответствующей информации в сети Интернет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</w:t>
            </w:r>
            <w:r>
              <w:t>ости хозяйствующих субъектов, осуществляющих деятельность на данном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жилищного строительства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Строительная индустрия Кабардино-Балкарской Республики является одним из важнейших направлений в социально-экономическом развитии республики. Доля организаций частной формы собственности на данном рынке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Конкуренция на данном рынке достаточ</w:t>
            </w:r>
            <w:r>
              <w:t>но развита. На территории Кабардино-Балкарской Республики на рынке жилищного строительства функционируют 80 хозяйствующих субъектов.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2021 - 2022 годах на рынке жилищного строительства доминировали следующие застройщики: ООО "СКСК", ООО "</w:t>
            </w:r>
            <w:proofErr w:type="spellStart"/>
            <w:r>
              <w:t>Тлепш</w:t>
            </w:r>
            <w:proofErr w:type="spellEnd"/>
            <w:r>
              <w:t>", ООО "Стро</w:t>
            </w:r>
            <w:r>
              <w:t>й-мир", ООО "Диск", ООО "Премиум", ООО "</w:t>
            </w:r>
            <w:proofErr w:type="spellStart"/>
            <w:r>
              <w:t>Каббалкрегионпроект</w:t>
            </w:r>
            <w:proofErr w:type="spellEnd"/>
            <w:r>
              <w:t xml:space="preserve">", ИП Халилов А.В., </w:t>
            </w:r>
            <w:proofErr w:type="spellStart"/>
            <w:r>
              <w:t>Татроков</w:t>
            </w:r>
            <w:proofErr w:type="spellEnd"/>
            <w:r>
              <w:t xml:space="preserve"> Б.А., </w:t>
            </w:r>
            <w:proofErr w:type="spellStart"/>
            <w:r>
              <w:t>Балагов</w:t>
            </w:r>
            <w:proofErr w:type="spellEnd"/>
            <w:r>
              <w:t xml:space="preserve"> Руслан Борисович, </w:t>
            </w:r>
            <w:proofErr w:type="spellStart"/>
            <w:r>
              <w:t>Шереужев</w:t>
            </w:r>
            <w:proofErr w:type="spellEnd"/>
            <w:r>
              <w:t xml:space="preserve"> </w:t>
            </w:r>
            <w:proofErr w:type="spellStart"/>
            <w:r>
              <w:t>Альбек</w:t>
            </w:r>
            <w:proofErr w:type="spellEnd"/>
            <w:r>
              <w:t xml:space="preserve"> </w:t>
            </w:r>
            <w:proofErr w:type="spellStart"/>
            <w:r>
              <w:t>Асланович</w:t>
            </w:r>
            <w:proofErr w:type="spellEnd"/>
            <w:r>
              <w:t xml:space="preserve">, </w:t>
            </w:r>
            <w:proofErr w:type="spellStart"/>
            <w:r>
              <w:t>Бухуров</w:t>
            </w:r>
            <w:proofErr w:type="spellEnd"/>
            <w:r>
              <w:t xml:space="preserve"> Муртаз Адамович.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 начала года предприятиями и организациями с учетом индивидуального жилищного строи</w:t>
            </w:r>
            <w:r>
              <w:t xml:space="preserve">тельства построено 5247 новых квартир, в том числе частными лицами 2203 жилых дома. Организациями-застройщиками, осуществляющими строительство многоквартирных жилых домов, построены 3044 квартиры. </w:t>
            </w:r>
            <w:proofErr w:type="gramStart"/>
            <w:r>
              <w:t>Общая площадь введенного жилья в январе - декабре 2022 г. с</w:t>
            </w:r>
            <w:r>
              <w:t>оставила 522,6 тыс. кв. метров, или 101,6% к январю - декабрю 2021 г., в том числе населением - 345,1 тыс. кв. метров (87,6%), организациями-застройщиками, осуществляющими многоквартирное жилищное строительство - 177,5 тыс. кв. метров (147,5% к аналогичном</w:t>
            </w:r>
            <w:r>
              <w:t>у периоду 2021 г.).</w:t>
            </w:r>
            <w:proofErr w:type="gramEnd"/>
            <w:r>
              <w:t xml:space="preserve"> В сельской местности введено 231,6 тыс. кв. метров общей площади жилых домов, что на 16,9% превышает уровень января - декабря 2021 г.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Росту ввода домов в республике способствует успешная реализация национального проекта "Жилье и городск</w:t>
            </w:r>
            <w:r>
              <w:t>ая среда" государственной программы Российской Федерации "Комплексное развитие сельских территорий", а также программ по льготной ипотеке.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 основным проблемам в развитии конкуренции на этом рынке можно отнести необходимость существенных капитальных затрат</w:t>
            </w:r>
            <w:r>
              <w:t xml:space="preserve"> при освоении и осуществлении строительной деятельности, в частности: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получение разрешения на строительство объектов жилой недвижимости, согласование и выдача технических условий на подключение к сетям инженерной инфраструктуры;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длительность и сложность пр</w:t>
            </w:r>
            <w:r>
              <w:t>оцедуры получения лицензии на право осуществления строительной деятельности;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искусственно создаваемый дефицит земельных участков под строительство жилых многоквартирных домов;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рассмотрение представленной документации, заявок на оформление, а также согласов</w:t>
            </w:r>
            <w:r>
              <w:t>ание и выдача технических условий на подключение к инженерным сетям осуществляется с затягиванием сроков;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выдача технических условий эксплуатирующими организациями и органами местного самоуправления с учетом ремонта (перекладки) существующих сетей в размерах, несоизмеримых с объемами по основному объекту (жилому дому);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препятствия в осуществлении поэтапного ст</w:t>
            </w:r>
            <w:r>
              <w:t xml:space="preserve">роительства (требуется разработка документации в полном объеме на весь объект и получение соответствующего заключения </w:t>
            </w:r>
            <w:proofErr w:type="spellStart"/>
            <w:r>
              <w:t>Госэкспертизы</w:t>
            </w:r>
            <w:proofErr w:type="spellEnd"/>
            <w:r>
              <w:t>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 основным задачам развития конкуренции в строительной сфере можно отнести: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упрощение процедур выделения земельных участко</w:t>
            </w:r>
            <w:r>
              <w:t xml:space="preserve">в (система "одного окна" для решения вопросов, связанных с землей), а также "оздоровление" земельных отношений в целом (территориальное планирование и разработка правил землепользования и застройки), межевание позволяют сделать процедуру выдачи земельного </w:t>
            </w:r>
            <w:r>
              <w:t xml:space="preserve">участка и определения вида </w:t>
            </w:r>
            <w:r>
              <w:lastRenderedPageBreak/>
              <w:t>разрешенного строительства более прозрачной, так как заранее уже определено в правилах, что, где и в каком виде можно строить);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упрощение процедур получения разрешения на строительство, различных согласований с органами государст</w:t>
            </w:r>
            <w:r>
              <w:t>венной власти и местного самоуправления;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решение проблемы подключения новых сооружений к магистральной инфраструктуре;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создание условий для привлечения предприятий малого и среднего бизнеса для проведения работ, а также проектирования, экспертизы и прочее;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обеспечение равных условий при получении государственных и муниципальных заказов путем создания систем электронных торгов и обеспечения равного доступа к ним всех субъектов хозяйственной деятельности;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доведение до строительных организаций информации о возможности и порядке участия в конкурсных отборах на получение государственной поддержки на строительство жилья;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повышение информационной открытости рынка путем организации свободного доступа к информации</w:t>
            </w:r>
            <w:r>
              <w:t xml:space="preserve"> о потребностях в строительных конструкциях и материалах для государственных нужд.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строительства и жилищно-коммунального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9.1. Опубликование на сайтах муниципальных образований в </w:t>
            </w:r>
            <w:r>
              <w:t>сети Интернет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</w:t>
            </w:r>
            <w:r>
              <w:t xml:space="preserve"> в целях строительства стандартного жилья, в том числе на картографической основе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информированность участников градостроительных отношений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9.2. Опубликование на сайтах муниципальных образований в сети Интернет актуальных планов создания объектов инфраструктуры, в том числе на картографической основе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информированность участников градостроительных отношений об актуальных планах по созданию объектов инфраструктуры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9.3. Проведение аукционов на право аренды земельных участков в целях жилищного строительства, развития застроенных территорий, освоения территорий в целях строительства стандартного жилья, комплексного </w:t>
            </w:r>
            <w:r>
              <w:lastRenderedPageBreak/>
              <w:t>освоения земельных участков в целях строительства стан</w:t>
            </w:r>
            <w:r>
              <w:t>дартного жилья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вовлечение в хозяйственный оборот земельных участков, находящихся в государственной, муниципальной </w:t>
            </w:r>
            <w:r>
              <w:lastRenderedPageBreak/>
              <w:t>собственности, в целях жилищного строительства, развития застроенных территорий, освоения территорий в целях строительства стандартного жилья,</w:t>
            </w:r>
            <w:r>
              <w:t xml:space="preserve"> комплексного освоения земельных участков в целях строительства стандартного жилья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По состоянию на 1 января 2023 г. в Кабардино-Балкарской Республике учтено 267 организаций по виду деятельности "Строительство". Доля организаций частной формы собственности на данном рынке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 фактором, обеспечивающим развитие рынка с</w:t>
            </w:r>
            <w:r>
              <w:t>троительства объектов капитального строительства за исключением жилищного и дорожного строительства на территории Кабардино-Балкарской Республики, является предоставление средств федерального бюджета в рамках реализации следующих национальных проектов на п</w:t>
            </w:r>
            <w:r>
              <w:t>ериод 2019 - 2024 годов: "Здравоохранение", "Образование", "Демография", "Культура".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Основной проблемой на данном рынке является существенное увеличение цен на строительные ресурсы, подлежащие поставке и (или) использованию при исполнении договора строител</w:t>
            </w:r>
            <w:r>
              <w:t>ьного подряда, при этом изменение (увеличение) цены такого договора в связи с увеличением цен на строительные ресурсы, подлежащие поставке и (или) использованию при исполнении договора, до размера, превышающего стоимость объекта капитального строительства,</w:t>
            </w:r>
            <w:r>
              <w:t xml:space="preserve"> предусмотренной проектной документацией, возможно только при наличии дополнительных</w:t>
            </w:r>
            <w:proofErr w:type="gramEnd"/>
            <w:r>
              <w:t xml:space="preserve"> финансовых средств у застройщика.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Основные направления по развитию конкуренции в сфере строительства: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обеспечение равных условий при получении государственных и муниципаль</w:t>
            </w:r>
            <w:r>
              <w:t>ных заказов путем создания систем электронных торгов и обеспечения равного доступа к ним всех субъектов хозяйственной деятельности;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размещение информации о торгах в дополнительных печатных изданиях, имеющих критерии по максимально охватываемой читательской</w:t>
            </w:r>
            <w:r>
              <w:t xml:space="preserve"> аудитории;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повышение информационной открытости рынка путем организации свободного доступа к информации о потребностях в строительных конструкциях и материалах для государственных нужд, в том числе в рамках государственных, региональных и инвестиционных пр</w:t>
            </w:r>
            <w:r>
              <w:t>ограмм;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упрощение процедуры выдачи разрешений на строительство и разработку технических регламентов, формализующих требования к экологической, биологической, химической, промышленной и иным видам безопасности.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строительств</w:t>
            </w:r>
            <w:r>
              <w:t>а и жилищно-коммунального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10.1. Анализ допускаемых заказчиками нарушений при проведении государственных и муниципальных закупок на строительство объектов </w:t>
            </w:r>
            <w:r>
              <w:lastRenderedPageBreak/>
              <w:t>капитального строительства и учет результатов данного анализа при формировании документации на проведение закупок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снижение колич</w:t>
            </w:r>
            <w:r>
              <w:t xml:space="preserve">ества нарушений при проведении закупок на строительство объектов капитального </w:t>
            </w:r>
            <w:r>
              <w:lastRenderedPageBreak/>
              <w:t>строительства, обеспечение равного доступа участников на товарный рынок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организаций частной формы собственности в сфере строительства объектов </w:t>
            </w:r>
            <w:r>
              <w:lastRenderedPageBreak/>
              <w:t xml:space="preserve">капитального </w:t>
            </w:r>
            <w:r>
              <w:t>строительства, за исключением жилищного и дорожного строительства,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99,9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Министерство строительства и жилищно-коммунального хозяйства </w:t>
            </w:r>
            <w:r>
              <w:lastRenderedPageBreak/>
              <w:t>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10.2. Предоставление государственных (муниципальных) услуг по выдаче градостроительного плана земельного участка в электронном виде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10.3. Предоставление государственных (муниципальных) услуг по выдаче разрешения на строительство, а также разрешения на ввод объекта в эксплуатацию в электронном виде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2023 - </w:t>
            </w:r>
            <w:r>
              <w:t>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10.4. Опубликование и актуализация на официальных сайтах муниципальных образований в сети Интернет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</w:t>
            </w:r>
            <w:r>
              <w:t>ельство и разрешения на ввод объекта в эксплуатацию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информированности хозяйствующих субъектов, осуществляющих деятельность на данном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По состоянию на 1 января 2023 г. Государственным комитетом Кабардино-Балкарской Республики по тарифам и жилищному надзору выдано 130 лицензий на осуществление предпринимательской деятельности по управлению многоквартирными домами, из них в 2022 году органи</w:t>
            </w:r>
            <w:r>
              <w:t>зациям было выдано 13 лицензий, действие 39 организаций прекращено в связи с прекращением лицензируемого вида деятельности, 3 управляющие компании находятся в муниципальной собственности, 1 управляющая компания является федеральным</w:t>
            </w:r>
            <w:proofErr w:type="gramEnd"/>
            <w:r>
              <w:t xml:space="preserve"> государственным унитарны</w:t>
            </w:r>
            <w:r>
              <w:t>м предприятием.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Более 96% рынка составляют организации частной формы собственности. Механизм получения лицензии на осуществление предпринимательской деятельности по управлению многоквартирными домами регламентирован, административные барьеры для входа на р</w:t>
            </w:r>
            <w:r>
              <w:t>ынок отсутствуют. Рынок характеризуется умеренным уровнем развития конкуренции.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К барьерам входа на товарный рынок относятся: административно-правовые ограничения (условия лицензирования отдельных видов деятельности, экологические ограничения, - </w:t>
            </w:r>
            <w:r>
              <w:lastRenderedPageBreak/>
              <w:t>проведение</w:t>
            </w:r>
            <w:r>
              <w:t xml:space="preserve"> конкурсного отбора управляющей организации согласно </w:t>
            </w:r>
            <w:hyperlink r:id="rId20" w:tooltip="Постановление Правительства РФ от 06.02.2006 N 75 (ред. от 21.12.2018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{КонсультантПлюс}">
              <w:r>
                <w:rPr>
                  <w:color w:val="0000FF"/>
                </w:rPr>
                <w:t>постановлению</w:t>
              </w:r>
            </w:hyperlink>
            <w:r>
              <w:t xml:space="preserve"> Правительства Российской Федерации от 6 февраля 2006 г. N 75</w:t>
            </w:r>
            <w:r>
              <w:t>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Основной проблемой на данном рынке является низкое качество услуг в сфере ЖКХ, задача создания конкурентного и прозрачного рынка управления жильем входит в число приоритетных.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 направлением развития рынка является улучшение качества услуг, оказы</w:t>
            </w:r>
            <w:r>
              <w:t>ваемых населению, и уменьшение количества жалоб жителей по вопросам содержания и эксплуатации многоквартирных домов.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Государственный комитет Кабардино-Балкарской Республики по тарифам и жилищному надзору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11.1. Проведение публичных слушаний для хозяйствующих субъектов, осуществляющих деятельность по содержанию и текущему ремонту общего имущества собственников помещений в многоквартирном доме, по практике допускаемых нарушений в целях предупреждения и миними</w:t>
            </w:r>
            <w:r>
              <w:t>зации нарушений в указанной сфере деятельности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снижение количества нарушений в деятельности управляющих организаций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</w:t>
            </w:r>
            <w:r>
              <w:t>ственников помещений в многоквартирном доме,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Государственный комитет Кабардино-Балкарской Республики по тарифам и жилищному надзору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11.2. Проведение мониторинга деятельности существующих организаций, выполняющих работы по содержанию общего имущества собственников помещений в многоквартирном доме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качества и эффективности работ по содержанию и текущему ремонту общего имущества </w:t>
            </w:r>
            <w:r>
              <w:t>собственников помещений в многоквартирном доме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выполнения работ по благоустройству городской среды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в Кабардино-Балкарской Республике реализовывались государственная программа Кабардино-Балкарской Республики "</w:t>
            </w:r>
            <w:r>
              <w:t>Формирование комфортной городской среды" и муниципальные программы формирования современной городской среды.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 данном рынке осуществляют деятельность 16 организаций, 94,8% из которых составляют организации частной формы собственности. Определение организа</w:t>
            </w:r>
            <w:r>
              <w:t>ций, осуществляющих благоустройство дворовых и общественных территорий в рамках федерального проекта "Формирование современной городской среды", осуществляется на основании конкурсных процедур.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Специалистами органов местного самоуправления республики оказы</w:t>
            </w:r>
            <w:r>
              <w:t>вается организационно-методическая и информационно-консультативная помощь субъектам предпринимательства, планирующим осуществлять деятельность в сфере выполнения работ по благоустройству, содействие в подготовке конкурсной документации, оформлении и состав</w:t>
            </w:r>
            <w:r>
              <w:t>лении расчетов и калькуляций.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Информация об организациях, осуществляющих деятельность на рынке благоустройства городской среды, размещена на официальных сайтах муниципальных образований Кабардино-Балкарской Республики в сети Интернет.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 xml:space="preserve">Основными проблемами </w:t>
            </w:r>
            <w:r>
              <w:t>на рынке выполнения работ по благоустройству городской среды являются: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низкая активность населения в реализации мероприятий по благоустройству территории муниципальных образований, подготовка </w:t>
            </w:r>
            <w:proofErr w:type="gramStart"/>
            <w:r>
              <w:t>дизайн-проектов</w:t>
            </w:r>
            <w:proofErr w:type="gramEnd"/>
            <w:r>
              <w:t xml:space="preserve"> благоустройства дворовых территорий, проведение </w:t>
            </w:r>
            <w:r>
              <w:t>общественных обсуждений, разработка технической документации и прохождение экспертиз, в том числе государственных, вложение средств граждан, в том числе на внедрение современных технологий для объектов благоустройства;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отсутствие льгот для организаций, осу</w:t>
            </w:r>
            <w:r>
              <w:t>ществляющих деятельность в сфере благоустройства на территориях, на которых они располагаются;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сложность получения кредитов для закупки необходимой техники и оборудования для благоустройства городской среды;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низкая инвестиционная привлекательность;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повышен</w:t>
            </w:r>
            <w:r>
              <w:t>ие требований к оперативности выполнения работ по благоустройству городской среды (сезонность);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проведение общественных обсуждений, разработка технической документации и прохождение экспертиз, в том числе государственных;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неудобство проведения уборочных ра</w:t>
            </w:r>
            <w:r>
              <w:t>бот на дворовых территориях за счет сужения проезжей части и наличия припаркованных автомобилей;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низкий уровень качества работ по благоустройству в связи с </w:t>
            </w:r>
            <w:proofErr w:type="gramStart"/>
            <w:r>
              <w:t>отсутствием</w:t>
            </w:r>
            <w:proofErr w:type="gramEnd"/>
            <w:r>
              <w:t xml:space="preserve"> установленных на законодательном уровне требований к проектированию и, как следствие, от</w:t>
            </w:r>
            <w:r>
              <w:t>сутствие проектирования либо некачественное проектирование.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Задачи повышения конкуренции на рынке выполнения работ по благоустройству городской среды: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выведение с конкурентного рынка унитарных предприятий;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увеличение количества организаций частной формы собственности на указанном рынке.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Рынок характеризуется умеренным уровнем развития конкуренции. Перспективным направлением развития рынка является создание условий для повышения </w:t>
            </w:r>
            <w:proofErr w:type="gramStart"/>
            <w:r>
              <w:t>уровня благоустройства террито</w:t>
            </w:r>
            <w:r>
              <w:t>рий образований Кабардино-Балкарской Республики</w:t>
            </w:r>
            <w:proofErr w:type="gramEnd"/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12.1. Разработка типовой документации, предусматривающей разделение закупаемых работ (услуг) на рынке выполнения работ по</w:t>
            </w:r>
            <w:r>
              <w:t xml:space="preserve"> благоустройству городской среды на большее количество лотов с уменьшением объема работ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информации о таких торгах в средствах массовой информации для привлечения большего числа участников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98,5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12.2. Оказание организационно-методической и информационно-консультативной помощи субъектам предпринимательства, планирующим осуществлять деятельность в сфере выполнения работ по благоустройству городской среды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информационной грамотности предприн</w:t>
            </w:r>
            <w:r>
              <w:t>имателей, планирующих осуществлять деятельность в сфере выполнения работ по благоустройству городской среды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12.3. Подготовка информационной базы об организациях,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налич</w:t>
            </w:r>
            <w:r>
              <w:t>ие актуальной информации о количестве и формах собственности организаций, находящихся на рынке благоустройства городской среды Кабардино-Балкарской Республики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дорожной деятельности (за исключением проектирования)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Дорожное хозяйство является одним из основных элементов транспортной инфраструктуры, обеспечивающих передвижение граждан и перемещение товаров и услуг. В 2022 году услуги в дорожной отрасли осуществляли 26 организаций, имеющих частную форму собственности, </w:t>
            </w:r>
            <w:r>
              <w:t>что составляет 100% организаций на указанном рынке. В сфере дорожного строительства конкуренция проявляется во время проведения подрядных торгов на проектные работы, работы по строительству, реконструкции, капитальному ремонту и ремонту автомобильных дорог</w:t>
            </w:r>
            <w:r>
              <w:t xml:space="preserve"> и искусственных сооружений на них.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Барьерами входа на рынок являются экономические и административные ограничения: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осуществление значительных первоначальных капитальных вложений при длительных сроках окупаемости этих вложений;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большие затраты на перевоору</w:t>
            </w:r>
            <w:r>
              <w:t>жение производственных фондов для более эффективной работы, а также на текущий ремонт машин и механизмов и капитальный ремонт всего оборудования;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транспортные ограничения, выразившиеся в повышении цен на моторное топливо;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получение разрешений на добычу нер</w:t>
            </w:r>
            <w:r>
              <w:t>удных материалов путем разработки открытых карьеров.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целях продвижения и развития конкуренции в сфере дорожного строительства и </w:t>
            </w:r>
            <w:proofErr w:type="gramStart"/>
            <w:r>
              <w:t>ремонта</w:t>
            </w:r>
            <w:proofErr w:type="gramEnd"/>
            <w:r>
              <w:t xml:space="preserve"> автомобильных дорог, распределение подрядных работ по строительству, реконструкции, капитальному ремонту и ремонту авт</w:t>
            </w:r>
            <w:r>
              <w:t xml:space="preserve">омобильных дорог и искусственных сооружений на них осуществляется посредством проведения торгов с соблюдением требований Федерального </w:t>
            </w:r>
            <w:hyperlink r:id="rId21" w:tooltip="Федеральный закон от 05.04.2013 N 44-ФЗ (ред. от 13.06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3) ------------ Недействующая редакция {Кон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транспорта и дорожного хозяйства Каба</w:t>
            </w:r>
            <w:r>
              <w:t>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13.1. Недопущение укрупнения лотов при проведении закупочных процедур в сфере дорожной деятельности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расширение возможностей для участия в торгах хозяйствующих субъектов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13.2. Сокращение сроков приемки выполненных работ по результатам исполнения заключенных муниципальных контрактов, обеспечение своевременной и </w:t>
            </w:r>
            <w:r>
              <w:lastRenderedPageBreak/>
              <w:t>стопроцентной оплаты выполненных и принятых заказчиком работ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исключение случаев создания препятствий для осуществл</w:t>
            </w:r>
            <w:r>
              <w:t>ения предпринимательской деятельности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кадастровых и землеустроительных работ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177"/>
              <w:jc w:val="both"/>
            </w:pPr>
            <w:r>
              <w:t xml:space="preserve">Ключевым показателем развития конкуренции товарного рынка является доля организаций частной формы собственности в сфере кадастровых и землеустроительных работ. Кадастровую деятельность в соответствии с требованиями Федерального </w:t>
            </w:r>
            <w:hyperlink r:id="rId22" w:tooltip="Федеральный закон от 24.07.2007 N 221-ФЗ (ред. от 13.06.2023) &quot;О кадастровой деятельности&quot; ------------ Недействующая редакция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24 июля 2007 г. N 221-ФЗ "О кадастровой деятельности" вправе осуществлять только кадастровые инженеры. При этом данные услуги могут оказывать как кадастровые инженеры, действующие в качестве индивидуальных предпринимателей, так и инже</w:t>
            </w:r>
            <w:r>
              <w:t>неры, осуществляющие деятельность в качестве работников юридического лица.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 xml:space="preserve">Согласно реестру кадастровых инженеров в Кабардино-Балкарской Республике по состоянию на 1 января 2023 г. осуществляют деятельность 162 кадастровых инженера с действующим членством </w:t>
            </w:r>
            <w:r>
              <w:t>в саморегулируемых организациях. Таким образом, доля частного сектора составляет 100%.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proofErr w:type="gramStart"/>
            <w:r>
              <w:t>Рынок кадастровых и землеустроительных работ в целом обеспечивает потребность в указанных услугах, вместе с тем имеются и проблемные вопросы: отсутствие картографической</w:t>
            </w:r>
            <w:r>
              <w:t xml:space="preserve"> основы, от которой напрямую зависит достоверность кадастровых данных, недостаточный уровень квалификации кадастровых инженеров и их большое число, что приводит к снижению качества кадастровых работ и, как следствие, к ошибкам в сведениях Единого государст</w:t>
            </w:r>
            <w:r>
              <w:t>венного реестра недвижимости.</w:t>
            </w:r>
            <w:proofErr w:type="gramEnd"/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 xml:space="preserve">Рынок кадастровых и землеустроительных работ в целом </w:t>
            </w:r>
            <w:proofErr w:type="gramStart"/>
            <w:r>
              <w:t>обеспечивает потребность в</w:t>
            </w:r>
            <w:proofErr w:type="gramEnd"/>
            <w:r>
              <w:t xml:space="preserve"> указанных услугах.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>Несмотря на положительные тенденции развития рынка, существуют факторы, препятствующие его развитию: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>снижение количества заказов на выполнение работ в связи с сокращением объектов, требующих постановки на кадастровый учет;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>недостаточный уровень квалификации кадастровых инженеров и их большое количество, что приводит к снижению качества кадастровых работ и</w:t>
            </w:r>
            <w:r>
              <w:t>, как следствие, к ошибкам в сведениях Единого государственного реестра недвижимости;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>отсутствие картографической основы, от которой напрямую зависит достоверность кадастровых данных.</w:t>
            </w:r>
          </w:p>
          <w:p w:rsidR="00FE48CF" w:rsidRDefault="001B0C2E">
            <w:pPr>
              <w:pStyle w:val="ConsPlusNormal0"/>
              <w:ind w:firstLine="177"/>
              <w:jc w:val="both"/>
            </w:pPr>
            <w:r>
              <w:t>Источник информации: Министерство земельных и имущественных отношений Ка</w:t>
            </w:r>
            <w:r>
              <w:t>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14.1. Внедрение в производство и обеспечение обязательного использования всеми участниками рынка землеустроительных услуг единых технических регламентов и стандартов проведения землеустройства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оптимизация процедуры предоставления землеустроительных услуг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Министерство </w:t>
            </w:r>
            <w:proofErr w:type="gramStart"/>
            <w:r>
              <w:t>земельных</w:t>
            </w:r>
            <w:proofErr w:type="gramEnd"/>
          </w:p>
          <w:p w:rsidR="00FE48CF" w:rsidRDefault="001B0C2E">
            <w:pPr>
              <w:pStyle w:val="ConsPlusNormal0"/>
              <w:jc w:val="center"/>
            </w:pPr>
            <w:r>
              <w:t>и имущественных отношений Кабард</w:t>
            </w:r>
            <w:r>
              <w:t>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14.2. Информационное обеспечение рынка землеустроительных услуг путем размещения информации на сайте уполномоченного органа в сети Интернет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</w:t>
            </w:r>
            <w:proofErr w:type="gramStart"/>
            <w:r>
              <w:t>уровня информированности участников рынка землеустроительных услуг</w:t>
            </w:r>
            <w:proofErr w:type="gramEnd"/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По состоянию на 1 января 2023 года в сфере услуг на рынке по перевозке пассажиров автомобильным транспортом по муниципальным маршрутам регулярных перевозок, осуществляют </w:t>
            </w:r>
            <w:r>
              <w:lastRenderedPageBreak/>
              <w:t>деятельность 157 организаций.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Доля услуг по перевозке пассажиров автомобильным транспо</w:t>
            </w:r>
            <w:r>
              <w:t>ртом в Кабардино-Балкарской Республике, оказанных организациями частной формы собственности,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Информация о хозяйствующих субъектах осуществляющих перевозки пассажиров размещена на официальных сайтах муниципальных образований Кабардино-Балка</w:t>
            </w:r>
            <w:r>
              <w:t>рской Республики в информационно-телекоммуникационной сети "Интернет".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Проблемами развития рынка услуг автомобильного транспорта в Кабардино-Балкарской Республике являются недобросовестная конкуренция на маршрутах регулярных перевозок, отсутствие средств у</w:t>
            </w:r>
            <w:r>
              <w:t xml:space="preserve"> перевозчиков на приобретение средств технического обеспечения и обновление парка подвижного состава, старение парка подвижного состава, а также высокая степень износа дорожно-транспортной инфраструктуры, получение лицензии на осуществление деятельности по</w:t>
            </w:r>
            <w:r>
              <w:t xml:space="preserve"> перевозкам пассажиров.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Для дальнейшего развития конкуренции на рынке услуг регулярных перевозок Кабардино-Балкарской Республики необходимо: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предоставление автотранспортным организациям на возмещение недополученных доходов в связи с организацией перевозок </w:t>
            </w:r>
            <w:r>
              <w:t>пассажиров на муниципальных (районных) маршрутах;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проведение мероприятий по восстановлению дорог в сельских районах.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рамках исследования товарного рынка услуг регулярных перевозок по муниципальным маршрутам в Кабардино-Балкарской Республике, в качестве о</w:t>
            </w:r>
            <w:r>
              <w:t>сновных барьеров входа на рынок можно указать: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необходимость значительных капиталовложений при длительных сроках окупаемости этих капиталовложений;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отсутствие эффективной поддержки отрасли;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ограничения в предоставлении долгосрочных кредитов;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затраты на рем</w:t>
            </w:r>
            <w:r>
              <w:t>онт и эксплуатацию транспортных сре</w:t>
            </w:r>
            <w:proofErr w:type="gramStart"/>
            <w:r>
              <w:t>дств в св</w:t>
            </w:r>
            <w:proofErr w:type="gramEnd"/>
            <w:r>
              <w:t>язи со слабым развитием дорожного хозяйства в сельских районах.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15.1. Мониторинг пассажиропотока и потребностей района в корректировке существующей маршрутной сети и создание новых маршрутов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создание новых маршрутов, удовлетворение в полном объеме потребностей населения в перевозках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услуг (работ) </w:t>
            </w:r>
            <w:r>
              <w:t>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97,5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15.2. Создание и развитие частного сектора по перевозке пассажиров автотранспортом по 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</w:t>
            </w:r>
            <w:r>
              <w:t xml:space="preserve">бращениях негосударственных перевозчиков, создание условий, обеспечивающих безопасное и качественное предоставление услуг по перевозке </w:t>
            </w:r>
            <w:r>
              <w:lastRenderedPageBreak/>
              <w:t>пассажиров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увеличение количества перевозчиков негосударственных форм собственности, наличие сети регулярных маршрутов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</w:t>
            </w:r>
            <w:r>
              <w:t>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15.3. 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</w:t>
            </w:r>
            <w:r>
              <w:t>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рынок услуг перевозок пассажиров наземным транспортом сформирован с учетом сложившейся маршрутной сети. Основу разветвленной маршрутной сети перевозок пассажиров наземным транспортом составляет разветвленная сеть межмуници</w:t>
            </w:r>
            <w:r>
              <w:t>пальных маршрутов регулярных перевозок пассажиров.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 состоянию на 1 января 2023 г. в реестре межмуниципальных маршрутов Кабардино-Балкарской Республики числятся 130 автобусных межмуниципальных маршрутов.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Межмуниципальные маршруты обслуживают 2 товариществ</w:t>
            </w:r>
            <w:r>
              <w:t>а и 12 автотранспортных предприятий, в том числе 1 муниципальное предприятие, 1 акционерное общество, 10 обществ с ограниченной ответственностью.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Во II квартале 2022 г. муниципальное предприятие (МП ММР "Майские пассажирские автоперевозки") вернуло докумен</w:t>
            </w:r>
            <w:r>
              <w:t>ты на обслуживание ряда межмуниципальных маршрутов в связи с прохождением процедуры ликвидации предприятия.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Совместно с местными администрациями муниципальных районов, городских округов проводится работа по внедрению в общественном транспорте устрой</w:t>
            </w:r>
            <w:proofErr w:type="gramStart"/>
            <w:r>
              <w:t>ств дл</w:t>
            </w:r>
            <w:proofErr w:type="gramEnd"/>
            <w:r>
              <w:t>я</w:t>
            </w:r>
            <w:r>
              <w:t xml:space="preserve"> безналичной оплаты проезда.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Несмотря на существующие трудности, маршрутная сеть Кабардино-Балкарской Республики обеспечивает доступ к регулярному прямому и транзитному транспортному обслуживанию 100% населения республики. Прямым автобусным сообщением с 3 </w:t>
            </w:r>
            <w:r>
              <w:t>городскими округами обеспечены все 112 сел (административных центров), из которых 78 населенных пунктов имеют прямое сообщение с г. Нальчиком.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Субъекты предпринимательской деятельности привлекаются к регулярным перевозкам по маршрутам межмуниципального соо</w:t>
            </w:r>
            <w:r>
              <w:t>бщения на конкурсной основе.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Барьером, затрудняющим предпринимательскую деятельность на данном рынке, является недобросовестная конкуренция, связанная с незаконной деятельностью нелегальных перевозчиков.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 целях развития конкуренции на рынке услуг перевозо</w:t>
            </w:r>
            <w:r>
              <w:t>к пассажиров автомобильным транспортом на межмуниципальных маршрутах для развития конкуренции в Кабардино-Балкарской Республике необходимо провести мероприятия, направленные на снижение административных барьеров: разработка нормативного правового акта по о</w:t>
            </w:r>
            <w:r>
              <w:t>рганизации регулярных перевозок пассажиров и багажа автомобильным транспортом общего пользования на территории республики, организация проведения открытых конкурсов по осуществлению регулярных перевозок пассажиров автомобильным транспортом общего пользован</w:t>
            </w:r>
            <w:r>
              <w:t>ия в</w:t>
            </w:r>
            <w:proofErr w:type="gramEnd"/>
            <w:r>
              <w:t xml:space="preserve"> межмуниципальном </w:t>
            </w:r>
            <w:proofErr w:type="gramStart"/>
            <w:r>
              <w:t>сообщении</w:t>
            </w:r>
            <w:proofErr w:type="gramEnd"/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транспорта и дорожного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16.1. Создание и развитие частного сектора по перевозке пассажиров автотранспортом по межмуниципальным маршрутам и </w:t>
            </w:r>
            <w:r>
              <w:lastRenderedPageBreak/>
              <w:t>благоприятных условий субъектам транспортной инфраструктуры, включая: формирование сети регулярных маршрутов с учетом предложений, изложенных</w:t>
            </w:r>
            <w:r>
              <w:t xml:space="preserve"> в обращениях негосударственных перевозчиков; 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увеличение количества перевозчиков негосударственных </w:t>
            </w:r>
            <w:r>
              <w:lastRenderedPageBreak/>
              <w:t>форм собственности; наличие сети регулярных маршрутов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услуг (работ) по перевозке пассажиров автомобильным </w:t>
            </w:r>
            <w:r>
              <w:lastRenderedPageBreak/>
              <w:t>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94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транспорта и</w:t>
            </w:r>
            <w:r>
              <w:t xml:space="preserve"> дорожного хозяйства </w:t>
            </w:r>
            <w:r>
              <w:lastRenderedPageBreak/>
              <w:t>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16.2. Пресечение деятельности нелегальных перевозчиков, включая организацию взаимодействия с территориальными органами федеральных органов исполнительной власти (например, </w:t>
            </w:r>
            <w:proofErr w:type="spellStart"/>
            <w:r>
              <w:t>Ространснадзор</w:t>
            </w:r>
            <w:proofErr w:type="spellEnd"/>
            <w:r>
              <w:t>) с целью пресечения деятельности по перевозке пассажиров по межмуници</w:t>
            </w:r>
            <w:r>
              <w:t>пальным маршрутам без заключения договоров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вытеснение с рынка нелегальных перевозчиков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16.3. 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удовлетворение потребностей населения в перевозках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оказания услуг по перевозке пассажиров и багажа легковым такси на территории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Министерством транспорта и дорожного хозяйства Кабардино-Балкарской Республики осуществляется выдача разрешений на осуществление деятельности такси. Разрешение на осуществление деятельности по перевозке пассажиров и багажа легковым такси на территории Каба</w:t>
            </w:r>
            <w:r>
              <w:t>рдино-Балкарской Республики выдается юридическому лицу либо индивидуальному предпринимателю сроком на 5 лет. Срок получения государственной услуги - 30 календарных дней со дня подачи заявления. Процедура приема заявления по выдаче, отзыву, переоформлению и</w:t>
            </w:r>
            <w:r>
              <w:t xml:space="preserve"> выдаче дубликата разрешения занимает не более 15 минут.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По состоянию на 31 декабря 2022 г. в реестре выданных разрешений на осуществление деятельности по перевозке пассажиров и багажа легковым такси на территории Кабардино-Балкарской Республики числилось </w:t>
            </w:r>
            <w:r>
              <w:t>199 действующих разрешений. 99,2% разрешений выданы организациям частной формы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Несмотря на положительные тенденции развития рынка, существует проблема осуществления перевозок пассажиров и багажа легковыми такси вне правового поля.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Таким обра</w:t>
            </w:r>
            <w:r>
              <w:t>зом, основной задачей является создание условий для честной конкуренции на рынке между хозяйствующими субъектами.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транспорта и дорожного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17.1. Оптимизация процедуры выдачи разрешений на осуществление деятельности по перевозке пассажиров и багажа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сокращение сроков оказания услуги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оказания услуг по перевозке пассажиров и ба</w:t>
            </w:r>
            <w:r>
              <w:t>гажа легковым такси на территории Кабардино-Балкарской Республики,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99,2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</w:tcPr>
          <w:p w:rsidR="00FE48CF" w:rsidRDefault="001B0C2E">
            <w:pPr>
              <w:pStyle w:val="ConsPlusNormal0"/>
              <w:jc w:val="center"/>
            </w:pPr>
            <w:r>
              <w:t>Министерство транспорта и дорожного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оказания услуг по ремонту автотранспортных средств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По состоянию на 1 января 2023 года деятельность в сфере ремонта автотранспортных средств и технического обслуживания машин и оборудования осуществляют более 134 хозяйствующих субъектов, форма собственности которых является частной.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Данная сфера услуг решает важнейшие социально-экономические задачи, и ее значение в жизни общества неуклонно возрастает. Доминирующее положение на рынке </w:t>
            </w:r>
            <w:proofErr w:type="spellStart"/>
            <w:r>
              <w:t>автосервисных</w:t>
            </w:r>
            <w:proofErr w:type="spellEnd"/>
            <w:r>
              <w:t xml:space="preserve"> услуг занимают субъекты малого предпринимательства, так как данный рынок достаточно привл</w:t>
            </w:r>
            <w:r>
              <w:t>екателен для них ввиду быстрой окупаемости бизнеса, отсутствия серьезных рисков и легко прогнозируемого поведения потребителей.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Местные администрации муниципальных районов, городских округов оказывают организационно-методическую и информационно-консультати</w:t>
            </w:r>
            <w:r>
              <w:t>вную помощь субъектам предпринимательства, осуществляющим (планирующим осуществить) деятельность на рынке.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Переподготовка безработных граждан по подготовке квалифицированных работников по ремонту автотранспортных сре</w:t>
            </w:r>
            <w:proofErr w:type="gramStart"/>
            <w:r>
              <w:t>дств пр</w:t>
            </w:r>
            <w:proofErr w:type="gramEnd"/>
            <w:r>
              <w:t>оводится территориальными центрам</w:t>
            </w:r>
            <w:r>
              <w:t>и труда, занятости и социальной защиты.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Обучение возможно по мере поступления имеющейся вакансии от работодателя. Информация о проведении обучающих мероприятий, конкурсов, семинаров ежемесячно размещается на сайте местных администраций.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Административными и</w:t>
            </w:r>
            <w:r>
              <w:t xml:space="preserve"> экономическими барьерами входа на данный рынок хозяйствующих субъектов являются низкая платежеспособность потребителей услуги, ограниченное количество точек оказания услуг вблизи транспортной магистрали, позволяющих обслуживать значительную территорию, от</w:t>
            </w:r>
            <w:r>
              <w:t xml:space="preserve">сутствие квалифицированных кадров либо недостаточная квалификация работников по ремонту автотранспортных средств. </w:t>
            </w:r>
            <w:proofErr w:type="gramStart"/>
            <w:r>
              <w:t>Один из путей сохранения стабильности авторизованных сервисных станций связан с удержанием существующих клиентов за счет различных преимуществ</w:t>
            </w:r>
            <w:r>
              <w:t>, включая ценовые.</w:t>
            </w:r>
            <w:proofErr w:type="gramEnd"/>
            <w:r>
              <w:t xml:space="preserve"> В целях обеспечения перспектив развития рынка осуществляется оказание организационно-методической и информационно-консультативной помощи субъектам предпринимательства, осуществляющим или планирующим осуществлять деятельность на рынке, мо</w:t>
            </w:r>
            <w:r>
              <w:t>дернизация объектов рынка ремонта автотранспортных средств.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18.1. 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информированности организаций частной формы собственности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2023 - 2025 </w:t>
            </w:r>
            <w:r>
              <w:t>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организаций частной формы собственности в сфере оказания услуг по ремонту автотранспортных </w:t>
            </w:r>
            <w:r>
              <w:lastRenderedPageBreak/>
              <w:t>средств,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18.2. Проведение конкурсных процедур по предоставлению земельных участков для строительства станций технического обслуживания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хозяйствующих субъектов частной формы собственности в общем количестве хозяйствующих субъектов в сфере ремон</w:t>
            </w:r>
            <w:r>
              <w:t>та автотранспортных средств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18.3. Информирование о формах обучения или переподготовке безработных граждан по подготовке квалифицированных работников по ремонту автотранспортных средств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улучшение качества предоставляемых услуг по ремонту автотранспортных средств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племенного животноводства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Кабардино-Балкарской Республике осуществляют производственную деятельность 23 предприятия, </w:t>
            </w:r>
            <w:proofErr w:type="gramStart"/>
            <w:r>
              <w:t>имеющих</w:t>
            </w:r>
            <w:proofErr w:type="gramEnd"/>
            <w:r>
              <w:t xml:space="preserve"> статус племенного хозяйства, в том числе 2 предприятия получили статус племенных по мясному скотоводству, овцеводству, коневодству, рыбоводству и птицеводс</w:t>
            </w:r>
            <w:r>
              <w:t>тву. Семь предприятий осуществляют производственно-хозяйственную деятельность по 2 - 3 направлениям.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При этом доля организаций частного сектора на данном рынке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Одновременное улучшение племенных и продуктивных каче</w:t>
            </w:r>
            <w:proofErr w:type="gramStart"/>
            <w:r>
              <w:t>ств ск</w:t>
            </w:r>
            <w:proofErr w:type="gramEnd"/>
            <w:r>
              <w:t>ота во всех категори</w:t>
            </w:r>
            <w:r>
              <w:t xml:space="preserve">ях хозяйств даст возможность не только повысить численность поголовья животных, но и увеличить валовое производство молока и мяса. </w:t>
            </w:r>
            <w:proofErr w:type="gramStart"/>
            <w:r>
              <w:t xml:space="preserve">Ведутся основные мероприятия по повышению эффективности племенной работы в целях оптимизации количественного и качественного </w:t>
            </w:r>
            <w:r>
              <w:t>состава стада молочного и мясного направления по увеличению удельного веса племенных животных, имеющих достоверное происхождение и подвергнутых анализу на генетические аномалии, по повышению уровня воспроизводства молочных и мясных стад, мотивации увеличен</w:t>
            </w:r>
            <w:r>
              <w:t>ия племенного маточного поголовья за счет эффективного предоставления государственной поддержки в племенном животноводстве.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 xml:space="preserve">В соответствии с </w:t>
            </w:r>
            <w:hyperlink r:id="rId23" w:tooltip="Постановление Правительства КБР от 21.03.2022 N 63-ПП (ред. от 13.04.2023) &quot;Об утверждении Правил предоставления субсидий на развитие агропромышленного комплекса Кабардино-Балкарской Республики&quot;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субсидий на поддержку сельскохозяйственного производства по отдельным </w:t>
            </w:r>
            <w:proofErr w:type="spellStart"/>
            <w:r>
              <w:t>подотраслям</w:t>
            </w:r>
            <w:proofErr w:type="spellEnd"/>
            <w:r>
              <w:t xml:space="preserve"> животноводства и на стимулирование развития приоритетных </w:t>
            </w:r>
            <w:proofErr w:type="spellStart"/>
            <w:r>
              <w:t>подотраслей</w:t>
            </w:r>
            <w:proofErr w:type="spellEnd"/>
            <w:r>
              <w:t xml:space="preserve"> животноводства Кабардино-Балкарской Республики, утвержденны</w:t>
            </w:r>
            <w:r>
              <w:t>ми постановлением Правительства Кабардино-Балкарской Республики от 21 марта 2022 г. N 63-ПП, оказывается государственная поддержка на возмещение части затрат на содержание племенного маточного поголовья сельскохозяйственных животных.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была оказа</w:t>
            </w:r>
            <w:r>
              <w:t xml:space="preserve">на государственная поддержка на сумму 177,74 </w:t>
            </w:r>
            <w:proofErr w:type="gramStart"/>
            <w:r>
              <w:t>млн</w:t>
            </w:r>
            <w:proofErr w:type="gramEnd"/>
            <w:r>
              <w:t xml:space="preserve"> руб., в том числе из федерального бюджета - 168,85 млн руб., из республиканского бюджета Кабардино-Балкарской Республики - 8,89 млн руб.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Ограничения конкуренции в данной отрасли связаны с проблемой сбыта тов</w:t>
            </w:r>
            <w:r>
              <w:t>аропроизводителями произведенной ими продукции на территории республики из-за ограниченных мощностей переработки сырья. Часть сырья реализуется в близлежащие регионы, что, в свою очередь, ведет к завозу из других регионов продукции переработки (конкурирующ</w:t>
            </w:r>
            <w:r>
              <w:t>ей продукции). Кроме того, ограничением конкуренции также является неразвитость логистической, транспортной инфраструктуры в агропродовольственном комплексе, в том числе дефицит хранилищ, складов, пунктов первичной переработки сельскохозяйственной продукци</w:t>
            </w:r>
            <w:r>
              <w:t>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Основные меры по развитию конкуренции на рынке племенного животноводства должны быть направлены на увеличение количества и мощности хозяйств республики за счет </w:t>
            </w:r>
            <w:r>
              <w:lastRenderedPageBreak/>
              <w:t>государственной поддержки по содержанию племенного маточного поголовья сельскохозяйственных ж</w:t>
            </w:r>
            <w:r>
              <w:t>ивотных предприятиям частной формы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сельского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19.1. Принятие административных регламентов рассмотрения заявлений о предоставлении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исключение случаев предъявления необоснованных требований, а также необоснованных отказов в предоставлении субсидий хозяйствующим субъектам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19.2. Предоставление возможности подачи заявлений в электронном виде о выделении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оптимизация процедуры предоставления субсидий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19.3. Размещение в открытом доступе информации, </w:t>
            </w:r>
            <w:proofErr w:type="gramStart"/>
            <w:r>
              <w:t>содержащей</w:t>
            </w:r>
            <w:proofErr w:type="gramEnd"/>
            <w:r>
              <w:t xml:space="preserve"> в том числе исчерпывающий перечень актуальных нормативных правовых актов, регламентирующих предоставление субсидий </w:t>
            </w:r>
            <w:proofErr w:type="spellStart"/>
            <w:r>
              <w:t>сельхозтоваропроизводителям</w:t>
            </w:r>
            <w:proofErr w:type="spellEnd"/>
            <w:r>
              <w:t>, а также актуальный реестр получателей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</w:t>
            </w:r>
            <w:r>
              <w:t xml:space="preserve">ние информированности </w:t>
            </w:r>
            <w:proofErr w:type="spellStart"/>
            <w:r>
              <w:t>сельхозтоваропроизводителей</w:t>
            </w:r>
            <w:proofErr w:type="spellEnd"/>
            <w:r>
              <w:t>, заинтересованных в получении субсидий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семеноводства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ведется планомерная и целенаправленная работа по развитию отечественного семеноводства.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За последние три года наблюдается тенденция роста семеноводческих хозяйств. В 2022 году производственную деятельность осуществляли 59 </w:t>
            </w:r>
            <w:r>
              <w:t>семеноводческих хозяйств, имеющих частную форму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Одной из наиболее приоритетных и прибыльных отраслей сельскохозяйственного производства для Кабардино-Балкарской Республики является семеноводство кукурузы. Этому способствуют благоприятные поч</w:t>
            </w:r>
            <w:r>
              <w:t>венно-климатические условия республики, давние традиции и опыт возделывания кукурузы. Одним из основных звеньев в системе семеноводства является апробация и регистрация сортов и гибридов, включенных к использованию в государственный реестр селекционных дос</w:t>
            </w:r>
            <w:r>
              <w:t xml:space="preserve">тижений, допущенных к использованию в производстве и сортосмене с </w:t>
            </w:r>
            <w:proofErr w:type="spellStart"/>
            <w:r>
              <w:t>сортообновлением</w:t>
            </w:r>
            <w:proofErr w:type="spellEnd"/>
            <w:r>
              <w:t>. Количество хозяйств, а также площадь участков на апробацию и регистрацию в республике растет.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Ограничения конкуренции в данной отрасли связаны с проблемой сбыта товаропроиз</w:t>
            </w:r>
            <w:r>
              <w:t xml:space="preserve">водителями произведенной ими сельскохозяйственной продукции на территории республики из-за </w:t>
            </w:r>
            <w:r>
              <w:lastRenderedPageBreak/>
              <w:t>ограниченных мощностей переработки сырья. Часть сырья реализуется в близлежащие регионы, что, в свою очередь, ведет к завозу из других регионов продукции переработки</w:t>
            </w:r>
            <w:r>
              <w:t xml:space="preserve"> (конкурирующей продукции). Также ограничивает конкуренцию неразвитость логистической, транспортной инфраструктуры в агропродовольственном комплексе, в том числе дефицит хранилищ, складов, пунктов первичной переработки сельхозпродукции.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 как сельское хо</w:t>
            </w:r>
            <w:r>
              <w:t xml:space="preserve">зяйство является приоритетным направлением деятельности в республике и напрямую является гарантом продовольственной безопасности, необходимо предпринимать меры, направленные на дальнейшее развитие частного сектора, оказание финансовой и иных мер поддержки </w:t>
            </w:r>
            <w:r>
              <w:t>местным семеноводам, увеличение объема производства продукции сельского хозяйства крестьянскими (фермерскими) хозяйствами и индивидуальными предпринимателями на базе новых селекционных достижений.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сельского хозяйства Кабар</w:t>
            </w:r>
            <w:r>
              <w:t>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20.1. Принятие административных регламентов рассмотрения заявлений о предоставлении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исключение случаев предъявления необоснованных требований, а также необоснованных отказов в предоставлении субсидий хозяйствующим субъектам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</w:t>
            </w:r>
            <w:r>
              <w:t>инистерство сельского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20.2. Предоставление возможности подачи заявлений в электронном виде о выделении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оптимизация процедуры предоставления субсидии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20.3. Размещение в открытом доступе информации, </w:t>
            </w:r>
            <w:proofErr w:type="gramStart"/>
            <w:r>
              <w:t>содержащей</w:t>
            </w:r>
            <w:proofErr w:type="gramEnd"/>
            <w:r>
              <w:t xml:space="preserve"> в том числе исчерпывающий перечень актуальных нормативных правовых актов, регламентирующих предоставление субсидий </w:t>
            </w:r>
            <w:proofErr w:type="spellStart"/>
            <w:r>
              <w:t>сельхозтоваропроизводителям</w:t>
            </w:r>
            <w:proofErr w:type="spellEnd"/>
            <w:r>
              <w:t>, а также актуальный реестр получателей субсидий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</w:t>
            </w:r>
            <w:r>
              <w:t xml:space="preserve">ние информированности </w:t>
            </w:r>
            <w:proofErr w:type="spellStart"/>
            <w:r>
              <w:t>сельхозтоваропроизводителей</w:t>
            </w:r>
            <w:proofErr w:type="spellEnd"/>
            <w:r>
              <w:t>, заинтересованных в получении субсидий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 xml:space="preserve">Рынок </w:t>
            </w:r>
            <w:proofErr w:type="gramStart"/>
            <w:r>
              <w:t>товарной</w:t>
            </w:r>
            <w:proofErr w:type="gramEnd"/>
            <w:r>
              <w:t xml:space="preserve"> </w:t>
            </w:r>
            <w:proofErr w:type="spellStart"/>
            <w:r>
              <w:t>аквакультуры</w:t>
            </w:r>
            <w:proofErr w:type="spellEnd"/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proofErr w:type="spellStart"/>
            <w:r>
              <w:t>Рыбохозяйственный</w:t>
            </w:r>
            <w:proofErr w:type="spellEnd"/>
            <w:r>
              <w:t xml:space="preserve"> комплекс Кабардино-Балкарской Республики - это более 3,0 тыс. га рыбоводных площадей, из которых более 50% по разным причинам не эксплуатируются.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Объемы производства товарной рыбы в республике незначительны и не соответствуют потенциальны</w:t>
            </w:r>
            <w:r>
              <w:t>м возможностям.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Особенности природно-климатических условий, наличие водных ресурсов позволяют развивать </w:t>
            </w:r>
            <w:proofErr w:type="spellStart"/>
            <w:r>
              <w:t>рыбохозяйственный</w:t>
            </w:r>
            <w:proofErr w:type="spellEnd"/>
            <w:r>
              <w:t xml:space="preserve"> комплекс Кабардино-Балкарской Республики по следующим </w:t>
            </w:r>
            <w:r>
              <w:lastRenderedPageBreak/>
              <w:t xml:space="preserve">направлениям: товарное рыбоводство, рекреационное развитие </w:t>
            </w:r>
            <w:proofErr w:type="spellStart"/>
            <w:r>
              <w:t>аквакультуры</w:t>
            </w:r>
            <w:proofErr w:type="spellEnd"/>
            <w:r>
              <w:t xml:space="preserve"> (оказани</w:t>
            </w:r>
            <w:r>
              <w:t>е услуг для спортивного и любительского рыболовства).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было зарегистрировано 13 организаций, осуществлявших деятельность на данном рынке, 100% из которых имели частную форму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современных экономических условиях освоение этих водое</w:t>
            </w:r>
            <w:r>
              <w:t>мов с помощью традиционных методов не принесет прибыли, более целесообразно использование в рекреационных целях.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 xml:space="preserve">Несмотря на определенные положительные тенденции, в товарном рыбоводстве еще имеется ряд факторов, ограничивающих конкуренцию на данном рынке: </w:t>
            </w:r>
            <w:r>
              <w:t xml:space="preserve">отсутствие достаточной государственной поддержки, дефицит инвестиционных ресурсов, слабо развитая рыночная инфраструктура, высокая степень износа основных производственных фондов, недостаточно развитый механизм страхования рисков в </w:t>
            </w:r>
            <w:proofErr w:type="spellStart"/>
            <w:r>
              <w:t>аквакультуре</w:t>
            </w:r>
            <w:proofErr w:type="spellEnd"/>
            <w:r>
              <w:t xml:space="preserve">, дефицит в </w:t>
            </w:r>
            <w:r>
              <w:t>качественном отечественном рыбопосадочном материале, отсутствие современной кормовой базы для выращивания рыбы;</w:t>
            </w:r>
            <w:proofErr w:type="gramEnd"/>
            <w:r>
              <w:t xml:space="preserve"> отсутствие современных высокотехнологичных предприятий по переработке рыбы; отсутствие финансирования научно-исследовательских работ.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На рынке </w:t>
            </w:r>
            <w:proofErr w:type="gramStart"/>
            <w:r>
              <w:t>т</w:t>
            </w:r>
            <w:r>
              <w:t>оварной</w:t>
            </w:r>
            <w:proofErr w:type="gramEnd"/>
            <w:r>
              <w:t xml:space="preserve"> </w:t>
            </w:r>
            <w:proofErr w:type="spellStart"/>
            <w:r>
              <w:t>аквакультуры</w:t>
            </w:r>
            <w:proofErr w:type="spellEnd"/>
            <w:r>
              <w:t xml:space="preserve"> слабо развита конкуренция. Основными задачами по содействию развитию конкуренции на рынке являются: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снижение административных барьеров;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осуществление мер государственной поддержки хозяйствующих субъектов в сфере товарной </w:t>
            </w:r>
            <w:proofErr w:type="spellStart"/>
            <w:r>
              <w:t>аквакультуры</w:t>
            </w:r>
            <w:proofErr w:type="spellEnd"/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сельского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21.1. Реконструкция, ремонт и расширение прудового фонда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модернизация объектов прудового фонда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доля организаций частной формы собственности на рынке товарной </w:t>
            </w:r>
            <w:proofErr w:type="spellStart"/>
            <w:r>
              <w:t>аквакультуры</w:t>
            </w:r>
            <w:proofErr w:type="spellEnd"/>
            <w:r>
              <w:t>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21.2. Реконструкция и ремонт бассейнов и лотков для выращивания ценных видов рыб (форели и осетра)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модернизация объектов выращивания ценных видов рыб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21.3. Производство высококачественного рыбопосадочного материала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увеличение производства </w:t>
            </w:r>
            <w:proofErr w:type="spellStart"/>
            <w:r>
              <w:t>аквакультурной</w:t>
            </w:r>
            <w:proofErr w:type="spellEnd"/>
            <w:r>
              <w:t xml:space="preserve"> продукции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легкой промышленности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Одной из важнейших отраслей промышленного комплекса, которая специализируется на создании товаров народного потребления, является легкая промышленность. Отрасль относится к обрабатывающим производствам. Производятся различные товары, в том числе ткани, обу</w:t>
            </w:r>
            <w:r>
              <w:t>вь и одежду. Индекс промышленного производства (ИПП) за 2022 год по виду деятельности "Производство текстильных изделий" составил 100,9%, "Производство одежды" - 97,2%, "Производство кожи и изделий из кожи" - 146,3%.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общей сложности курируемые Министерст</w:t>
            </w:r>
            <w:r>
              <w:t xml:space="preserve">вом промышленности, энергетики и торговли Кабардино-Балкарской Республики предприятия легкой промышленности производят около 30 наименований продукции, в том числе полотна </w:t>
            </w:r>
            <w:proofErr w:type="spellStart"/>
            <w:r>
              <w:t>кулирные</w:t>
            </w:r>
            <w:proofErr w:type="spellEnd"/>
            <w:r>
              <w:t xml:space="preserve">, </w:t>
            </w:r>
            <w:proofErr w:type="spellStart"/>
            <w:r>
              <w:t>футорные</w:t>
            </w:r>
            <w:proofErr w:type="spellEnd"/>
            <w:r>
              <w:t xml:space="preserve"> и жаккардовые, чулочно-носочные изделия, костюмы, брюки, куртки м</w:t>
            </w:r>
            <w:r>
              <w:t>ужские и подростковые, белье нательное трикотажное, обувь и обувные заготовки.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Наиболее крупными предприятиями являются АО "БТК Групп" г. Терек, ООО "</w:t>
            </w:r>
            <w:proofErr w:type="spellStart"/>
            <w:r>
              <w:t>ВоенТекстильПром</w:t>
            </w:r>
            <w:proofErr w:type="spellEnd"/>
            <w:r>
              <w:t>", ООО "Обувная фабрика "Комплект", ООО "Текстильная индустрия", ООО "Силуэт", ООО "Дарий"</w:t>
            </w:r>
            <w:r>
              <w:t xml:space="preserve"> и др. Доля организаций частной формы собственности составляет 100%.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 xml:space="preserve">Предприятия легкой промышленности республики оснащены современным швейным оборудованием, что позволяет выпускать изделия любой сложности, постоянно обновлять ассортимент продукции, также </w:t>
            </w:r>
            <w:r>
              <w:t xml:space="preserve">участвуют в выполнении </w:t>
            </w:r>
            <w:proofErr w:type="spellStart"/>
            <w:r>
              <w:t>гособоронзаказа</w:t>
            </w:r>
            <w:proofErr w:type="spellEnd"/>
            <w:r>
              <w:t>, осуществляют поставку вещевого имущества для нужд Министерства обороны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</w:t>
            </w:r>
            <w:r>
              <w:t xml:space="preserve">едствий и Министерства внутренних дел Российской </w:t>
            </w:r>
            <w:r>
              <w:lastRenderedPageBreak/>
              <w:t>Федерации.</w:t>
            </w:r>
            <w:proofErr w:type="gramEnd"/>
            <w:r>
              <w:t xml:space="preserve"> Количество рабочих мест на предприятиях легкой промышленности за последние годы увеличилось.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Предприятия промышленности в Кабардино-Балкарской Республике испытывают давление в связи с удорожанием </w:t>
            </w:r>
            <w:r>
              <w:t>сырья и комплектующих (в особенности на электронные компоненты, сырье для предприятий швейной промышленности, химические реактивы), а также затрат на логистику.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 целью минимизации затрат и увеличения добавленной стоимости производимого в республике продук</w:t>
            </w:r>
            <w:r>
              <w:t>та целесообразно создание текстильной фабрики, обеспечивающей основным сырьем предприятия легкой промышленности.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Прорабатывается вопрос разработки проекта по созданию в республике индустриального парка в сфере легкой промышленности с использованием имеющих</w:t>
            </w:r>
            <w:r>
              <w:t>ся механизмов государственной поддержки, а также инструментов финансирования АО "</w:t>
            </w:r>
            <w:proofErr w:type="spellStart"/>
            <w:r>
              <w:t>Кавказ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>". Ведется разработка "дорожной карты" по реализации проекта. Предварительно определен якорный резидент, ведется подбор земельного участка, а также формирование возмо</w:t>
            </w:r>
            <w:r>
              <w:t>жных мер государственной поддержки для резидентов. Земельный участок площадью 22 - 25 га предполагается рассмотреть из земель промышленной зоны в пригороде г. Нальчика.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Несмотря на санкции, введенные недружественными странами, предприятия продолжают реализ</w:t>
            </w:r>
            <w:r>
              <w:t>ацию своих производственных задач и не намерены останавливать производство, сокращать персонал или фонд заработной платы. Предприятия добились определенных результатов в повышении качества и расширении ассортимента выпускаемой продукции, наращиваются объем</w:t>
            </w:r>
            <w:r>
              <w:t>ы ее производства и реализации.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Конкуренция при производстве каждого вида продукции слабо развита.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Одним из главных факторов, препятствующих развитию рынка легкой промышленности, является </w:t>
            </w:r>
            <w:proofErr w:type="gramStart"/>
            <w:r>
              <w:t>значительно широкое</w:t>
            </w:r>
            <w:proofErr w:type="gramEnd"/>
            <w:r>
              <w:t xml:space="preserve"> распространение на рынке теневого и подпольного </w:t>
            </w:r>
            <w:r>
              <w:t>производства изделий легкой промышленности.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Нелегальное производство и теневой импорт в наибольшей степени характерны для дешевых видов одежды и обуви. В результате российские производители практически полностью вытеснены из этого сегмента рынка, что не по</w:t>
            </w:r>
            <w:r>
              <w:t xml:space="preserve">зволяет производить полный ассортиментный ряд продукции, ослабляя способность предприятий противостоять колебаниям </w:t>
            </w:r>
            <w:proofErr w:type="spellStart"/>
            <w:r>
              <w:t>коньюктурного</w:t>
            </w:r>
            <w:proofErr w:type="spellEnd"/>
            <w:r>
              <w:t xml:space="preserve"> рынка.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Одним из необходимых условий развития данного товарного рынка является осуществление постоянной модернизации производств</w:t>
            </w:r>
            <w:r>
              <w:t>енных мощностей и запуска новых технологий, вследствие технической и технологической отсталости предприятий легкой промышленности Кабардино-Балкарской Республики от зарубежных конкурентов, что проявляется в высокой энергоемкости и трудоемкости производства</w:t>
            </w:r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целях развития конкуренции, необходимо решение следующих задач: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реализация мер финансовой поддержки предприятий легкой промышленности государством;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содействие в продвижении товаров хозяйствующих субъектов в сфере легкой промышленности как на внутреннем</w:t>
            </w:r>
            <w:r>
              <w:t xml:space="preserve"> рынке (в целях </w:t>
            </w:r>
            <w:proofErr w:type="spellStart"/>
            <w:r>
              <w:t>импортазамещения</w:t>
            </w:r>
            <w:proofErr w:type="spellEnd"/>
            <w:r>
              <w:t>), так и на товарные рынки других стран;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привлечение частных инвестиций в сферу легкой промышленности.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22.1. Создание </w:t>
            </w:r>
            <w:proofErr w:type="gramStart"/>
            <w:r>
              <w:t>интернет-портала</w:t>
            </w:r>
            <w:proofErr w:type="gramEnd"/>
            <w:r>
              <w:t xml:space="preserve"> о выпускаемой в Кабардино-Балкарской Республике продукции легкой промышленности и ее производителях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доступа потребителей к информации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легкой п</w:t>
            </w:r>
            <w:r>
              <w:t>ромышленности,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22.2. Проведение организационных мероприятий для участия производителей в региональных и межрегиональных выставках-ярмарках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расширение рынка сбыта и привлечение негосударственных организаций в указанную сферу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23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обработки древесины и производства изделий из дерева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функционирует ряд малых предприятий деревообрабатывающей промышленности, выпускающих пиломатериалы. Кроме того, пиломатериалы, поддоны деревянные, ящики деревянные, окна, двери, их коробки и пороги деревянные могут выпуска</w:t>
            </w:r>
            <w:r>
              <w:t xml:space="preserve">ть организации производственного </w:t>
            </w:r>
            <w:proofErr w:type="gramStart"/>
            <w:r>
              <w:t>сектора Управления Федеральной службы исполнения наказаний</w:t>
            </w:r>
            <w:proofErr w:type="gramEnd"/>
            <w:r>
              <w:t xml:space="preserve"> по Кабардино-Балкарской Республике. Отрасль в республике в основном представлена малыми предприятиями.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Используется местное сырье и сырье, приобретенное в других су</w:t>
            </w:r>
            <w:r>
              <w:t>бъектах Российской Федерации.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объемы производства поддонов деревянных, дверей и коробок составили 120 тыс. штук и 0,7 тыс. кв. м соответственно. Пиломатериалов лиственных пород произведено 0,1 тыс. куб. м. Государственных предприятий или предпр</w:t>
            </w:r>
            <w:r>
              <w:t>иятий с долей государства в сегменте не имеется.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 xml:space="preserve">Административными барьерами входа на рынок обработки древесины и производства изделий из дерева являются участие в аукционе на право заключения договора аренды лесного участка в соответствии с Лесным </w:t>
            </w:r>
            <w:hyperlink r:id="rId24" w:tooltip="&quot;Лесной кодекс Российской Федерации&quot; от 04.12.2006 N 200-ФЗ (ред. от 13.06.2023) ------------ Недействующая редакция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необходимость для предпринимателя оплачивать процесс проектирования (формирования) лесного участка, его межевание при постановке на кадастровый учет, а также необходимость учета продукции, которой он ра</w:t>
            </w:r>
            <w:r>
              <w:t>сполагает и нормы ежегодного пользования взятым в</w:t>
            </w:r>
            <w:proofErr w:type="gramEnd"/>
            <w:r>
              <w:t xml:space="preserve"> аренду ресурсом.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Экономическими барьерами входа на данный рынок для предпринимателя является необходимость наличия первоначального капитала на аренду лесного участка, приобретения станков и оборудования, техники. Также транспортная недоступность территории приводит к тому,</w:t>
            </w:r>
            <w:r>
              <w:t xml:space="preserve"> что наиболее выгодные для организации многоцелевого использования лесные участки находятся за пределами развитой дорожной сети и их освоение требует создания дополнительной инфраструктуры для организации работ (временных жилых и складских помещений, орган</w:t>
            </w:r>
            <w:r>
              <w:t>изации источников энергоснабжения и пр.).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Основными проблемами на рынке обработки древесины и производства изделий из дерева Кабардино-Балкарской Республики являются необходимость осуществления значительных первоначальных капитальных вложений, высокие проц</w:t>
            </w:r>
            <w:r>
              <w:t>ентные ставки по кредитам, процесс модернизации производства требует регулярных вложений, высокие транспортные расходы, составляющие значительную долю в стоимости товара, что значительно сокращает географию реализации продукции.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Основными задачами для разв</w:t>
            </w:r>
            <w:r>
              <w:t>ития данного рынка являются выделение земельных участков без проведения торгов для реализации масштабных инвестиционных проектов, отвечающих установленным критериям, специальный инвестиционный контракт, заключаемый на срок до 10 лет, дающий гарантию инвест</w:t>
            </w:r>
            <w:r>
              <w:t>ору, который обязуется модернизировать существующие либо создать новые объекты промышленного производства, применение мер стимулирования в течение всего срока действия контракта.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промышленности, энергетики и торговли Кабар</w:t>
            </w:r>
            <w:r>
              <w:t>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23.1. Создание специализированной страницы на официальном сайте в сети Интернет, содержащей актуальную информацию о биржевой торговле и биржах, осуществляющих торговлю лесом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информированности хозяйствующих субъектов о деятельности на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</w:t>
            </w:r>
            <w:r>
              <w:t>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23.2. Проведение обучающих мероприятий для участников товарного рынка с участием представителей бирж, осуществляющих биржевую торговлю лесом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информационной грамотности предпринимателей, осуществляющих хозяйственную деятельность на рынке обработки древесины, по вопросам биржевой </w:t>
            </w:r>
            <w:r>
              <w:lastRenderedPageBreak/>
              <w:t>торговли лесом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23.3. Проведение организационных мероприятий для участия в региональных и межрегиональных выставках-ярмарках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расширение рынка сбыта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производства кирпича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Рынок производства кирпича в Кабардино-Балкарской Республике характеризуется высокой конкуренцией. Основным фактором развития многочисленных коммерческих структур, осуществляющих производство и реализацию кирпича в республике, является доступность местного</w:t>
            </w:r>
            <w:r>
              <w:t xml:space="preserve"> сырья и постоянного спроса на эту продукцию как внутри республики, так и со стороны соседних субъектов Российской Федерации.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республике функционируют производства по выпуску современных эффективных стеновых материалов: облицовочного кирпича и керамическ</w:t>
            </w:r>
            <w:r>
              <w:t>их камней, изделий из ячеистого бетона. Организовано производство многих видов строительных материалов, которые раньше не выпускались или выпускались в незначительных объемах, в том числе широкого ассортимента отделочных материалов из гипса. Освоено произв</w:t>
            </w:r>
            <w:r>
              <w:t>одство и налажен выпуск облицовочного кирпича. Все хозяйствующие субъекты имеют частную форму собственности, что позволяет сделать вывод о том, что доля частного сектора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2022 году было произведено более 15 </w:t>
            </w:r>
            <w:proofErr w:type="gramStart"/>
            <w:r>
              <w:t>млн</w:t>
            </w:r>
            <w:proofErr w:type="gramEnd"/>
            <w:r>
              <w:t xml:space="preserve"> кирпичей, что в 3 раза боль</w:t>
            </w:r>
            <w:r>
              <w:t>ше, чем произведено в 2021 году.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Основной объем производства приходится н</w:t>
            </w:r>
            <w:proofErr w:type="gramStart"/>
            <w:r>
              <w:t>а ООО</w:t>
            </w:r>
            <w:proofErr w:type="gramEnd"/>
            <w:r>
              <w:t xml:space="preserve"> "</w:t>
            </w:r>
            <w:proofErr w:type="spellStart"/>
            <w:r>
              <w:t>Прохладненский</w:t>
            </w:r>
            <w:proofErr w:type="spellEnd"/>
            <w:r>
              <w:t xml:space="preserve"> кирпичный завод", ООО </w:t>
            </w:r>
            <w:proofErr w:type="spellStart"/>
            <w:r>
              <w:t>Прохладненский</w:t>
            </w:r>
            <w:proofErr w:type="spellEnd"/>
            <w:r>
              <w:t xml:space="preserve"> кирпич". ООО "</w:t>
            </w:r>
            <w:proofErr w:type="spellStart"/>
            <w:r>
              <w:t>Лиола</w:t>
            </w:r>
            <w:proofErr w:type="spellEnd"/>
            <w:r>
              <w:t>" (начало работу по производству кирпича в 2022 году).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Кабардино-Балкарская Республика обладает достаточн</w:t>
            </w:r>
            <w:r>
              <w:t xml:space="preserve">ой сырьевой базой для производства кирпича: месторождение Лескенское-1, </w:t>
            </w:r>
            <w:proofErr w:type="spellStart"/>
            <w:r>
              <w:t>Черекское</w:t>
            </w:r>
            <w:proofErr w:type="spellEnd"/>
            <w:r>
              <w:t xml:space="preserve">, </w:t>
            </w:r>
            <w:proofErr w:type="spellStart"/>
            <w:r>
              <w:t>Герменчикское</w:t>
            </w:r>
            <w:proofErr w:type="spellEnd"/>
            <w:r>
              <w:t xml:space="preserve">, </w:t>
            </w:r>
            <w:proofErr w:type="spellStart"/>
            <w:r>
              <w:t>Урванское</w:t>
            </w:r>
            <w:proofErr w:type="spellEnd"/>
            <w:r>
              <w:t xml:space="preserve">, Прохладненское-2, </w:t>
            </w:r>
            <w:proofErr w:type="spellStart"/>
            <w:r>
              <w:t>Алтудское</w:t>
            </w:r>
            <w:proofErr w:type="spellEnd"/>
            <w:r>
              <w:t xml:space="preserve">, </w:t>
            </w:r>
            <w:proofErr w:type="spellStart"/>
            <w:r>
              <w:t>Карагачское</w:t>
            </w:r>
            <w:proofErr w:type="spellEnd"/>
            <w:r>
              <w:t>, Солдатское, Нижне-Чегемское, Верхне-</w:t>
            </w:r>
            <w:proofErr w:type="spellStart"/>
            <w:r>
              <w:t>Курпское</w:t>
            </w:r>
            <w:proofErr w:type="spellEnd"/>
            <w:r>
              <w:t xml:space="preserve"> и др.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2023 год</w:t>
            </w:r>
            <w:proofErr w:type="gramStart"/>
            <w:r>
              <w:t>у ООО</w:t>
            </w:r>
            <w:proofErr w:type="gramEnd"/>
            <w:r>
              <w:t xml:space="preserve"> "</w:t>
            </w:r>
            <w:proofErr w:type="spellStart"/>
            <w:r>
              <w:t>Прайминдестри</w:t>
            </w:r>
            <w:proofErr w:type="spellEnd"/>
            <w:r>
              <w:t>" организовало производс</w:t>
            </w:r>
            <w:r>
              <w:t>тво строительных кирпичей. Производственная мощность составит 5 тыс. кирпичей в сутки.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Учитывая большое количество производителей кирпича в регионах Северо-Кавказского федерального округа, продукция предприятий Кабардино-Балкарской Республики реализуется в</w:t>
            </w:r>
            <w:r>
              <w:t xml:space="preserve"> основном на внутреннем рынке, что затрудняет развитие производства.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Рынок развивается стабильно. К ограничениям, влияющим на развитие конкуренции на данном рынке, следует отнести систематическое повышение цен на сырье, отсутствие необходимого оборудования</w:t>
            </w:r>
            <w:r>
              <w:t xml:space="preserve"> отечественного производства по доступным ценам, несовершенную систему налогообложения.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24.1. Информирование предприятий </w:t>
            </w:r>
            <w:proofErr w:type="gramStart"/>
            <w:r>
              <w:t>о возможности получения государственной поддержки в соответствии с законодательством Кабардино-Балкарской Республики о государственной поддержке инвестиционной деятельности на территории</w:t>
            </w:r>
            <w:proofErr w:type="gramEnd"/>
            <w:r>
              <w:t xml:space="preserve"> Кабардино-Балкарской Республики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</w:t>
            </w:r>
            <w:r>
              <w:t xml:space="preserve">печение возможности получения заинтересованным кругом лиц информации об инвестиционной деятельности по направлению строительства, стимулирование спроса на </w:t>
            </w:r>
            <w:r>
              <w:lastRenderedPageBreak/>
              <w:t>инновационную продукцию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произво</w:t>
            </w:r>
            <w:r>
              <w:t>дства кирпича,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24.2. Проведение организационных мероприятий для участия производителей в межрегиональных выставках, организация межрегионального сотрудничества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экономической эффективности и конгруэнтности хозяйствующих субъектов на рассматриваемом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2023 - </w:t>
            </w:r>
            <w:r>
              <w:t>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24.3. Повышение информированности участников рынка об инвестиционной деятельности в Кабардино-Балкарской Республике по направлению строительства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возможности получения заинтересованным кругом лиц информации об инвестиционной деятельности в Кабардино-Балкарской Республике по направлению строительства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производства бетона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 настоящее время в Кабардино-Балкарской Республике </w:t>
            </w:r>
            <w:proofErr w:type="gramStart"/>
            <w:r>
              <w:t>функционируют ряд предприятий</w:t>
            </w:r>
            <w:proofErr w:type="gramEnd"/>
            <w:r>
              <w:t xml:space="preserve"> и индивидуальных предпринимателей, выпускающих бетон, а также изделия из бетона.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Перечень курируемых Министерством промышленности, энергетики и торговли Кабардино-Балкарской </w:t>
            </w:r>
            <w:r>
              <w:t>Республики предприятий, производящих бетон, а также изделия из бетона (2021 - 2022 годы): ООО "ЗЖБИ-2-Строй" (товарный бетон, изделия из бетона), ООО "ЗЖБИ N 4" (товарный бетон, изделия из бетона), ООО "НЗСМ" (товарный бетон, изделия из бетона), ООО "Майск</w:t>
            </w:r>
            <w:r>
              <w:t>ий ЗЖБИ" (изделия из бетона), ООО "Сад Сервис" (изделия из бетона), ООО "</w:t>
            </w:r>
            <w:proofErr w:type="spellStart"/>
            <w:r>
              <w:t>Лиола</w:t>
            </w:r>
            <w:proofErr w:type="spellEnd"/>
            <w:r>
              <w:t>", ООО "Мостстрой-1", ООО "</w:t>
            </w:r>
            <w:proofErr w:type="spellStart"/>
            <w:r>
              <w:t>Шэрий</w:t>
            </w:r>
            <w:proofErr w:type="spellEnd"/>
            <w:r>
              <w:t>", ООО "</w:t>
            </w:r>
            <w:proofErr w:type="spellStart"/>
            <w:r>
              <w:t>Дорстрой</w:t>
            </w:r>
            <w:proofErr w:type="spellEnd"/>
            <w:r>
              <w:t>", ООО "</w:t>
            </w:r>
            <w:proofErr w:type="spellStart"/>
            <w:r>
              <w:t>Ремонто</w:t>
            </w:r>
            <w:proofErr w:type="spellEnd"/>
            <w:r>
              <w:t>-строительное управление", ООО ТД "</w:t>
            </w:r>
            <w:proofErr w:type="spellStart"/>
            <w:r>
              <w:t>Базис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", ООО Строй-Бетон".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Доля частного сектора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Производство</w:t>
            </w:r>
            <w:r>
              <w:t xml:space="preserve"> товарного бетона осуществляется в основном для внутреннего потребления. Производимые марки бетона М-100, М-200, М300, М-350, М-400, М-450, М-550.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Главной проблемой на рынке производства бетона является дефицит производственных мощностей для производства т</w:t>
            </w:r>
            <w:r>
              <w:t>оварного бетона.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 ограничениям, влияющим на развитие конкуренции на данном рынке, следует отнести систематическое повышение цен на сырье, отсутствие необходимого оборудования отечественного производства по доступным ценам, несовершенную систему налогообло</w:t>
            </w:r>
            <w:r>
              <w:t>жения.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Направлением развития конкуренции на рынке является снижение административных барьеров для субъектов предпринимательской деятельности в сфере производства строительных материалов, в том числе бетона, а также содействие реализации инвестиционных прое</w:t>
            </w:r>
            <w:r>
              <w:t>ктов в сфере производства строительных материалов.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>Источник информации: 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25.1. Проведение организационных мероприятий для участия производителей в межрегиональных выставках для презентации товара, организация межрегионального сотрудничества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стимулирование спроса на инновационную продукцию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</w:t>
            </w:r>
            <w:r>
              <w:t>ой формы собственности в сфере производства бетона,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25.2. Повышение информированности участников рынка об инвестиционной деятельности в Кабардино-Балкарской Республике по направлению строительства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возможности получения заинтересованным кругом лиц информации об инвестиционной деятельности в Кабар</w:t>
            </w:r>
            <w:r>
              <w:t>дино-Балкарской Республике по направлению строительства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25.3. Информирование предприятий </w:t>
            </w:r>
            <w:proofErr w:type="gramStart"/>
            <w:r>
              <w:t>о возможности получения государственной поддержки в соответствии с законодательством Кабардино-Балкарской Республики о государственной поддержке инвестиционной деятельности на территории</w:t>
            </w:r>
            <w:proofErr w:type="gramEnd"/>
            <w:r>
              <w:t xml:space="preserve"> Кабардино-Балкарской Республики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</w:t>
            </w:r>
            <w:r>
              <w:t>печение возможности получения заинтересованным кругом лиц информации об инвестиционной государственной поддержке инвестиционной деятельности на территории Кабардино-Балкарской Республики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Торговля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На территории республики функционируют 715 нестационарных торговых объектов (НТО) и 43 мобильных торговых объекта. Продолжают осуществлять деятельность 7 рынков и 32 ярмарки регулярного проведения. Для реализации гражданами собственной сезонной плодоовощно</w:t>
            </w:r>
            <w:r>
              <w:t>й продукции местными администрациями муниципальных образований выделено 552 специально отведенных места. Обеспечивается беспрепятственный доступ местных товаропроизводителей всех форм собственности к указанным торговым объектам.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Сельхозпроизводители всех ф</w:t>
            </w:r>
            <w:r>
              <w:t xml:space="preserve">орм собственности имеют возможность реализовать выращенную продукцию без посредников. Активность стихийных форм торговли снижается. На территории рынков и торговых комплектов ведется строительство современных торговых павильонов, что позволяет упорядочить </w:t>
            </w:r>
            <w:r>
              <w:t>торговлю продовольственными и промышленными товарами, а также способствует повышению антитеррористической защищенности и безопасности данных объектов.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Хозяйствующим субъектам, осуществляющим деятельность в республике, предоставляется возможность гарантиров</w:t>
            </w:r>
            <w:r>
              <w:t xml:space="preserve">анного включения нестационарного торгового объекта в схему размещения нестационарных торговых объектов по инициативе граждан и юридических лиц, продления правоустанавливающих документов на размещение нестационарных торговых объектов без проведения торгов, </w:t>
            </w:r>
            <w:r>
              <w:t>а также предоставления мест без проведения торгов для отдельных категорий хозяйствующих субъектов, смены специализации действующего нестационарного торгового объекта по инициативе предпринимателя.</w:t>
            </w:r>
            <w:proofErr w:type="gramEnd"/>
            <w:r>
              <w:t xml:space="preserve"> Кроме того, в правовых актах органов местного самоуправлени</w:t>
            </w:r>
            <w:r>
              <w:t>я прописана обязанность предоставления равнозначного торгового места размещения нестационарного торгового объекта в случае необходимости использования территории, на которой установлен объект, для государственных или муниципальных нужд.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Сведения о проведен</w:t>
            </w:r>
            <w:r>
              <w:t xml:space="preserve">ии ярмарок, местах расположения нестационарных торговых объектов, а также объектов мобильной торговли регулярно размещаются на официальных </w:t>
            </w:r>
            <w:proofErr w:type="spellStart"/>
            <w:r>
              <w:t>интернет-ресурсах</w:t>
            </w:r>
            <w:proofErr w:type="spellEnd"/>
            <w:r>
              <w:t xml:space="preserve"> местных администраций и в районных печатных изданиях.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</w:t>
            </w:r>
            <w:r>
              <w:t>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26.1. Проведение открытых опросов предпринимателей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определение спроса/потребности в предоставлении мест под размещение НТО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нестационарных и мобильных торговых объектов и торговых мест под них не менее чем на 10% к 2025 году по отношению к 2020 году,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26.2. Подготовка предложений по изменению схемы размещения НТО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расширение перечня объектов НТО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26.3. Утверждение актуализированной схемы размещения НТО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актуализация схем размещения НТО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26.4. Разработка и утверждение программы по проведению ярмарок, включающей мероприятия по созданию торговых новых мест, снижению или освобождению от платы за их использование, размещение программы в сети Интернет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нестационарных торгов</w:t>
            </w:r>
            <w:r>
              <w:t>ых объектов и торговых мест под них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26.5. Проведение мониторинга с целью определения </w:t>
            </w:r>
            <w:r>
              <w:lastRenderedPageBreak/>
              <w:t>административных барьеров, экономических ограничений, иных факторов, являющихся барьерами входа на рынок (выхода с рынка), проведение межведомственных экспертных советов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устранение административных </w:t>
            </w:r>
            <w:r>
              <w:lastRenderedPageBreak/>
              <w:t>барьеров,</w:t>
            </w:r>
            <w:r>
              <w:t xml:space="preserve">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27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Добыча общераспространенных ископаемых в Кабардино-Балкарской Республике в 2022 году осуществлялась 58 предприятиями в соответствии с 62 выданными лицензиями на право пользования недрами. Три предприятия имеют по две лицензии, одно предприятие - три лиценз</w:t>
            </w:r>
            <w:r>
              <w:t>ии. В отрасли насчитывается всего 2 организации, совокупная доля участия в которых Российской Федерации, субъекта Российской Федерации, муниципального образования составляет более 50%.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Наиболее частой организационно-правовой формой являются общества с огра</w:t>
            </w:r>
            <w:r>
              <w:t>ниченной ответственностью и индивидуальные предприниматели. Подавляющее большинство предприятий отнесено к субъектам малого предпринимательства. Крупнейшими из них являются два предприятия по добыче песчано-гравийной смеси, на которые в отдельные годы прих</w:t>
            </w:r>
            <w:r>
              <w:t xml:space="preserve">одится до трети всего объема добываемых общераспространенных полезных ископаемых: ООО "Нальчикские дорожно-строительные материалы" </w:t>
            </w:r>
            <w:proofErr w:type="gramStart"/>
            <w:r>
              <w:t>и ООО</w:t>
            </w:r>
            <w:proofErr w:type="gramEnd"/>
            <w:r>
              <w:t xml:space="preserve"> "</w:t>
            </w:r>
            <w:proofErr w:type="spellStart"/>
            <w:r>
              <w:t>Доргранит</w:t>
            </w:r>
            <w:proofErr w:type="spellEnd"/>
            <w:r>
              <w:t>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объемы добычи превысили добычу общераспространенных полезных ископаемых, осуществляемую в 2019</w:t>
            </w:r>
            <w:r>
              <w:t xml:space="preserve"> году (до пандемии), в основном за счет увеличения добычи песчано-гравийной смеси.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По итогам 10 месяцев 2022 г. валовая добыча превысила добычу за 2021 год на 16%. По основному виду добычи песчано-гравийной смеси наблюдается увеличение на 38,5%. Индекс про</w:t>
            </w:r>
            <w:r>
              <w:t>мышленного производства за указанный период составил 108,6%.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Второй год на рынке общераспространенных полезных ископаемых наблюдается подъем после снижения в 2019 - 2020 годах, связанного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Особенности имеюще</w:t>
            </w:r>
            <w:r>
              <w:t>гося положения с добычей общераспространенных полезных ископаемых в Кабардино-Балкарской Республике не могут рассматриваться отдельно от экономической ситуации в республике и в стране и отдельно от ситуации в иных отраслях народного хозяйства.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Общераспрост</w:t>
            </w:r>
            <w:r>
              <w:t>раненные полезные ископаемые нашей республики являются строительным сырьем. Поэтому их добыча в основном регулируется состоянием строительной промышленности и дорожного строительства в республике, Северо-Кавказском федеральном округе и в целом по России.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Г</w:t>
            </w:r>
            <w:r>
              <w:t>лавными административными барьерами входа на соответствующий рынок являются необходимость получения права пользования недрами, оформляемое соответствующей лицензией, и наличие земельного участка в пользовании или аренде, необходимого для пользования участк</w:t>
            </w:r>
            <w:r>
              <w:t>ом недр.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Главными экономическими барьерами являются наличие необходимых финансовых сре</w:t>
            </w:r>
            <w:proofErr w:type="gramStart"/>
            <w:r>
              <w:t>дств дл</w:t>
            </w:r>
            <w:proofErr w:type="gramEnd"/>
            <w:r>
              <w:t>я пользования недрами, технических и технологических возможностей, отсутствие задолженности перед государственными и муниципальными бюджетами.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Также обязательным т</w:t>
            </w:r>
            <w:r>
              <w:t>ребованием является наличие квалифицированных специалистов. В соответствии с законодательством о недрах пользователями недр могут быть субъекты предпринимательской деятельности, в том числе участники простого товарищества, иностранные граждане, юридические</w:t>
            </w:r>
            <w:r>
              <w:t xml:space="preserve"> лица, если иное не установлено федеральными законами.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Действующее законодательство о недрах не накладывает ограничений на предприятия, доля участия в которых Российской Федерации, субъекта Российской Федерации, муниципального образования составляет более </w:t>
            </w:r>
            <w:r>
              <w:t>50%.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Таким образом, добыча общераспространенных полезных ископаемых в Кабардино-Балкарской Республике характеризуется высоким уровнем конкуренции. К основным направлениям развития рынка добычи полезных ископаемых относятся создание благоприятных условий дл</w:t>
            </w:r>
            <w:r>
              <w:t>я привлечения частного капитала в сферу геологоразведки, борьба с незаконной добычей общераспространенных полезных ископаемых, минимизация экологического ущерба при добыче общераспространенных полезных ископаемых, сокращение сроков предоставления государст</w:t>
            </w:r>
            <w:r>
              <w:t>венных услуг, разработка и реализация территориальных программ развития и использования минерально-сырьевой базы.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природных ресурсов и экологии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27.1. Опубликование на сайте уполномоченного органа в сети Интернет и на официальном сайте torgi.gov.ru информации о проведен</w:t>
            </w:r>
            <w:proofErr w:type="gramStart"/>
            <w:r>
              <w:t>ии ау</w:t>
            </w:r>
            <w:proofErr w:type="gramEnd"/>
            <w:r>
              <w:t>кционов на право пользования участками недр местного значения на участках недр местного значения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информированности п</w:t>
            </w:r>
            <w:r>
              <w:t>ретендентов на получение права пользования участками недр местного значения о проведен</w:t>
            </w:r>
            <w:proofErr w:type="gramStart"/>
            <w:r>
              <w:t>ии ау</w:t>
            </w:r>
            <w:proofErr w:type="gramEnd"/>
            <w:r>
              <w:t>кционов на право пользования участками недр местного значения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добычи общераспространенных полез</w:t>
            </w:r>
            <w:r>
              <w:t>ных ископаемых на участках недр местного значения,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95,5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природных ресурсов и экологии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27.2. Ведение </w:t>
            </w:r>
            <w:proofErr w:type="gramStart"/>
            <w:r>
              <w:t>реестра участков местного значения нераспределенного фонда недр общераспространенных полезных ископаемых</w:t>
            </w:r>
            <w:proofErr w:type="gramEnd"/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информированности претендентов на получение права пользования участками недр местного значения о наличии участков недр нераспре</w:t>
            </w:r>
            <w:r>
              <w:t>деленного фонда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купли-продажи электрической энергии (мощности)</w:t>
            </w:r>
          </w:p>
          <w:p w:rsidR="00FE48CF" w:rsidRDefault="001B0C2E">
            <w:pPr>
              <w:pStyle w:val="ConsPlusNormal0"/>
              <w:jc w:val="center"/>
            </w:pPr>
            <w:r>
              <w:t>на розничном рынке электрической энергии (мощности)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розничный рынок электрической энергии (мощности) в Кабардино-Балкарской Республике был представлен следующими хозяйствующими субъектами: филиал ПАО "</w:t>
            </w:r>
            <w:proofErr w:type="spellStart"/>
            <w:r>
              <w:t>Россети</w:t>
            </w:r>
            <w:proofErr w:type="spellEnd"/>
            <w:r>
              <w:t xml:space="preserve"> Северный Кавказ" - "Каббалкэнерго", ОАО "Энергетическая компания "Эталон, ООО "</w:t>
            </w:r>
            <w:proofErr w:type="spellStart"/>
            <w:r>
              <w:t>Русэнерг</w:t>
            </w:r>
            <w:r>
              <w:t>осбыт</w:t>
            </w:r>
            <w:proofErr w:type="spellEnd"/>
            <w:r>
              <w:t>. При этом филиал ПАО "</w:t>
            </w:r>
            <w:proofErr w:type="spellStart"/>
            <w:r>
              <w:t>Россети</w:t>
            </w:r>
            <w:proofErr w:type="spellEnd"/>
            <w:r>
              <w:t xml:space="preserve"> Северный Кавказ" - "Каббалкэнерго" имеет статус гарантирующего поставщика на территории Кабардино-Балкарской Республики. ОАО "Энергетическая компания "Эталон" </w:t>
            </w:r>
            <w:proofErr w:type="gramStart"/>
            <w:r>
              <w:t>и ООО</w:t>
            </w:r>
            <w:proofErr w:type="gramEnd"/>
            <w:r>
              <w:t xml:space="preserve"> "</w:t>
            </w:r>
            <w:proofErr w:type="spellStart"/>
            <w:r>
              <w:t>Русэнергосбыт</w:t>
            </w:r>
            <w:proofErr w:type="spellEnd"/>
            <w:r>
              <w:t xml:space="preserve">" имеют статус </w:t>
            </w:r>
            <w:proofErr w:type="spellStart"/>
            <w:r>
              <w:t>энергосбытовой</w:t>
            </w:r>
            <w:proofErr w:type="spellEnd"/>
            <w:r>
              <w:t xml:space="preserve"> организации</w:t>
            </w:r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2022 году филиал ПАО "</w:t>
            </w:r>
            <w:proofErr w:type="spellStart"/>
            <w:r>
              <w:t>Россети</w:t>
            </w:r>
            <w:proofErr w:type="spellEnd"/>
            <w:r>
              <w:t xml:space="preserve"> Северный Кавказ" - "Каббалкэнерго" занимал долю свыше 50 процентов всего товарного рынка поставки электрической энергии. Оставшаяся часть товарного рынка приходилась на два независимых хозяйствующих субъекта: ОАО "</w:t>
            </w:r>
            <w:proofErr w:type="spellStart"/>
            <w:r>
              <w:t>Энергосб</w:t>
            </w:r>
            <w:r>
              <w:t>ытовая</w:t>
            </w:r>
            <w:proofErr w:type="spellEnd"/>
            <w:r>
              <w:t xml:space="preserve"> компания" </w:t>
            </w:r>
            <w:proofErr w:type="gramStart"/>
            <w:r>
              <w:t>и ООО</w:t>
            </w:r>
            <w:proofErr w:type="gramEnd"/>
            <w:r>
              <w:t xml:space="preserve"> "</w:t>
            </w:r>
            <w:proofErr w:type="spellStart"/>
            <w:r>
              <w:t>Русэнергосбыт</w:t>
            </w:r>
            <w:proofErr w:type="spellEnd"/>
            <w:r>
              <w:t>". Данный товарный рынок характеризуются высоким уровнем рыночной концентрации, неразвитой конкуренцией.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Гидроэлектростанциями, расположенными на территории республики, за январь - декабрь 2022 г. выработано 639,3 </w:t>
            </w:r>
            <w:proofErr w:type="gramStart"/>
            <w:r>
              <w:t>млн</w:t>
            </w:r>
            <w:proofErr w:type="gramEnd"/>
            <w:r>
              <w:t xml:space="preserve"> к</w:t>
            </w:r>
            <w:r>
              <w:t xml:space="preserve">Вт*ч электроэнергии, что составляет 113,8% по отношению к аналогичному периоду 2021 года. За январь - декабрь 2022 г. общий объем покупной электроэнергии составил, по оперативным данным, 1780,2 </w:t>
            </w:r>
            <w:proofErr w:type="gramStart"/>
            <w:r>
              <w:t>млн</w:t>
            </w:r>
            <w:proofErr w:type="gramEnd"/>
            <w:r>
              <w:t xml:space="preserve"> кВт*ч, что на 104,3% больше уровня аналогичного периода пр</w:t>
            </w:r>
            <w:r>
              <w:t xml:space="preserve">ошлого года. Полезный отпуск электроэнергии потребителям (включая население) составил 1377,007 </w:t>
            </w:r>
            <w:proofErr w:type="gramStart"/>
            <w:r>
              <w:t>млн</w:t>
            </w:r>
            <w:proofErr w:type="gramEnd"/>
            <w:r>
              <w:t xml:space="preserve"> кВт*ч, или 124,5% к аналогичному периоду 2021 года. Потери электроэнергии за 12 месяцев 2022 г. составили 403,2 </w:t>
            </w:r>
            <w:proofErr w:type="gramStart"/>
            <w:r>
              <w:t>млн</w:t>
            </w:r>
            <w:proofErr w:type="gramEnd"/>
            <w:r>
              <w:t xml:space="preserve"> кВт*ч, или 22,7% от общего объема покупки</w:t>
            </w:r>
            <w:r>
              <w:t>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Низкая конкуренция на розничном рынке реализации электрической энергии обусловлена наличием экономических и технологических барьеров.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К экономическим барьерам появления новых игроков (хозяйствующих субъектов) на розничном рынке реализации электрической э</w:t>
            </w:r>
            <w:r>
              <w:t xml:space="preserve">нергии (мощности) относятся несвоевременная оплата потребителями покупаемой электроэнергии, наличие проблемы бездоговорного или </w:t>
            </w:r>
            <w:proofErr w:type="spellStart"/>
            <w:r>
              <w:t>безучетного</w:t>
            </w:r>
            <w:proofErr w:type="spellEnd"/>
            <w:r>
              <w:t xml:space="preserve"> потребления электроэнергии, сохранение перекрестного субсидирования, долги предприятий </w:t>
            </w:r>
            <w:r>
              <w:lastRenderedPageBreak/>
              <w:t>жилищно-коммунального комплек</w:t>
            </w:r>
            <w:r>
              <w:t>са за потребленную электроэнергию, большие коммерческие потери, необходимость крупных инвестиций для модернизации активов отрасли с целью повышения конкурентоспособности.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Одним из основных видов технологических барьеров является отсутствие автоматизированн</w:t>
            </w:r>
            <w:r>
              <w:t>ой системы контроля и учета электрической энергии, которая необходима для выхода на оптовый рынок электроэнергии.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Устранение вышеприведенных барьеров является залогом развития высокой конкуренции на розничном рынке реализации электроэнергии (мощности) на т</w:t>
            </w:r>
            <w:r>
              <w:t>ерритории Кабардино-Балкарской Республики.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28.1. Проведение мониторинга деятельности существующих организаций, осуществляющих розничную куплю-продажу электроэнергии (мощности) в ценовых и неценовых зонах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сокращение количества неэффективных </w:t>
            </w:r>
            <w:proofErr w:type="spellStart"/>
            <w:r>
              <w:t>энергосбытовых</w:t>
            </w:r>
            <w:proofErr w:type="spellEnd"/>
            <w:r>
              <w:t xml:space="preserve"> организаций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</w:t>
            </w:r>
            <w:r>
              <w:t>й частной формы собственности, осуществляющих деятельность по купле-продаже электроэнергии (</w:t>
            </w:r>
            <w:proofErr w:type="spellStart"/>
            <w:r>
              <w:t>энергосбытовую</w:t>
            </w:r>
            <w:proofErr w:type="spellEnd"/>
            <w:r>
              <w:t xml:space="preserve"> деятельность) на розничном рынке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Республики, органы местного самоуправления (в части 28.3)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28.2. Создание условий для оформления документов по подключению (технологическому присоединению) объектов капитального строительства к сетям инженерно-технического обеспечения в электронной форме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снижение административной нагрузки при прохождении процедур </w:t>
            </w:r>
            <w:r>
              <w:t>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28.3. Приватизация муниципальных предприятий, осуществляющих куплю-продажу электроэнергии (мощности) на розничном рынке электрической энергии (мощности)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сокращение количества неэффективных </w:t>
            </w:r>
            <w:proofErr w:type="spellStart"/>
            <w:r>
              <w:t>энергосбытовых</w:t>
            </w:r>
            <w:proofErr w:type="spellEnd"/>
            <w:r>
              <w:t xml:space="preserve"> организаций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нефтепродуктов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Рынок реализации нефтепродуктов в Кабардино-Балкарской Республике относится к типу высококонцентрированных рынков с достаточно развитой конкурентной средой (доля частного сектора составляет 100%).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По состоянию на 1 января 2023 г. работу в сфере нефтепродуктов в Кабардино-Балкарской Республике осуществляли 199 хозяйствующих субъектов, два из которых являются филиалами </w:t>
            </w:r>
            <w:r>
              <w:lastRenderedPageBreak/>
              <w:t xml:space="preserve">российских вертикально интегрированных нефтяных компаний: ПАО "НК" Роснефть" и ПАО </w:t>
            </w:r>
            <w:r>
              <w:t>"Лукойл". ПАО "НК" Роснефть" является основным поставщиком нефтепродуктов для ОАО "НК "Роснефть" - КБТК", а ПАО "Лукойл" - для ООО Лукойл-</w:t>
            </w:r>
            <w:proofErr w:type="spellStart"/>
            <w:r>
              <w:t>Югнефтепродукт</w:t>
            </w:r>
            <w:proofErr w:type="spellEnd"/>
            <w:r>
              <w:t>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Несмотря на многочисленность хозяйствующих субъектов, осуществляющих розничную реализацию на территор</w:t>
            </w:r>
            <w:r>
              <w:t>ии республики нефтепродуктов, данный товарный рынок относится к рынкам с высоким уровнем монополизации регионального рынка реализации автомобильных бензинов и слабо развитую конкуренцию. Свыше 65% всего реализуемого объема нефтепродуктов на территории Каба</w:t>
            </w:r>
            <w:r>
              <w:t xml:space="preserve">рдино-Балкарской Республики приходится на ОАО "НК "Роснефть" - КБТК" </w:t>
            </w:r>
            <w:proofErr w:type="gramStart"/>
            <w:r>
              <w:t>и ООО</w:t>
            </w:r>
            <w:proofErr w:type="gramEnd"/>
            <w:r>
              <w:t xml:space="preserve"> "Лукойл - </w:t>
            </w:r>
            <w:proofErr w:type="spellStart"/>
            <w:r>
              <w:t>Югнефтепродукт</w:t>
            </w:r>
            <w:proofErr w:type="spellEnd"/>
            <w:r>
              <w:t>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Для осуществления розничной реализации нефтепродуктов необходимым условием является наличие стационарных АЗС на отведенных земельных участках, оборудованн</w:t>
            </w:r>
            <w:r>
              <w:t>ых в соответствии с нормами и правилами эксплуатации. АЗС - это пожароопасный производственный объект, его строительство и эксплуатация требуют согласования с Министерством Российской Федерации по делам гражданской обороны, чрезвычайным ситуациям и ликвида</w:t>
            </w:r>
            <w:r>
              <w:t>ции последствий стихийных бедствий Федеральной службой по экологическому, технологическому и атомному надзору. Для эксплуатации АЗС необходимо получить лицензию на ее строительство, застраховать АЗС, зарегистрировать в государственном реестре опасных произ</w:t>
            </w:r>
            <w:r>
              <w:t>водственных объектов, непрерывно соблюдать правила технической, промышленной, пожарной безопасности.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Вход на данный рынок требует определенных капитальных вложений, связанных или со строительством новой АЗС, или с приобретением действующей АЗС на правах со</w:t>
            </w:r>
            <w:r>
              <w:t>бственности или аренды, что накладывает определенные экономические и административные ограничения (выделение земельного участка, получение разрешения на строительство и эксплуатацию АЗС) для входа на рынок.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Розничные продавцы автомобильных бензинов, не вхо</w:t>
            </w:r>
            <w:r>
              <w:t>дящие в систему вертикально интегрированных нефтяных компаний, испытывают в первую очередь экономические барьеры в виде нехватки оборотных средств и собственных крупных резервуаров для хранения больших запасов нефтепродуктов, чтобы снизить свою зависимость</w:t>
            </w:r>
            <w:r>
              <w:t xml:space="preserve"> от частых изменений цен на нефтеперерабатывающих заводах и перебоев в поставках нефтепродуктов.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29.1. Проведение мониторинга розничных цен на нефтепродукты</w:t>
            </w:r>
          </w:p>
        </w:tc>
        <w:tc>
          <w:tcPr>
            <w:tcW w:w="232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обеспечение контроля ценообразования на рынке в целях развития конкуренции на нем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29.2. Создание информационного и консультационного поля для хозяйствующих субъектов частной формы собственности, желающих работать в сфере розничной продажи нефтепродуктов</w:t>
            </w:r>
          </w:p>
        </w:tc>
        <w:tc>
          <w:tcPr>
            <w:tcW w:w="232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информационной грамотности предпринимателей, осуществляющих хозяйственную </w:t>
            </w:r>
            <w:r>
              <w:t>деятельность на рынке нефтепродуктов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29.3. Размещение на официальном сайте в сети Интернет информации о биржевой торговле и биржах, осуществляющих торговлю нефтепродуктами</w:t>
            </w:r>
          </w:p>
        </w:tc>
        <w:tc>
          <w:tcPr>
            <w:tcW w:w="2324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информационной грамотности предпринимателей, осуществляющих хозяйственную </w:t>
            </w:r>
            <w:r>
              <w:lastRenderedPageBreak/>
              <w:t>деятельность на рынке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30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поставки сжиженного газа в баллонах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В Кабардино-Балкарской Республике функционирует 1 частная организация, осуществляющая деятельность на данном товарном рынке.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Республика имеет развитую систему газопроводов, подключенных к единой системе газоснабжения. Уровень газификации республики природн</w:t>
            </w:r>
            <w:r>
              <w:t>ым газом достаточно высок: газифицировано около 94 процентов населенных пунктов республики.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Приоритетным направлением для Кабардино-Балкарской Республики является полная газификация всех населенных пунктов, реконструкция и техническое перевооружение сущест</w:t>
            </w:r>
            <w:r>
              <w:t>вующей газовой инфраструктуры за счет сре</w:t>
            </w:r>
            <w:proofErr w:type="gramStart"/>
            <w:r>
              <w:t>дств сп</w:t>
            </w:r>
            <w:proofErr w:type="gramEnd"/>
            <w:r>
              <w:t>ециальной надбавки к тарифам на транспортировку газа.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30.1. Проведение </w:t>
            </w:r>
            <w:proofErr w:type="gramStart"/>
            <w:r>
              <w:t>мониторинга объема рынка поставки сжиженного газа</w:t>
            </w:r>
            <w:proofErr w:type="gramEnd"/>
            <w:r>
              <w:t xml:space="preserve"> в баллонах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определение текущей ситуации на рынке поставки сжиженного газа в баллонах с целью недопущения снижения развития конкуренции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</w:t>
            </w:r>
            <w:r>
              <w:t>енности в сфере поставки сжиженного газа в баллонах,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  <w:gridSpan w:val="2"/>
          </w:tcPr>
          <w:p w:rsidR="00FE48CF" w:rsidRDefault="001B0C2E">
            <w:pPr>
              <w:pStyle w:val="ConsPlusNormal0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по сбору и транспортированию твердых коммунальных отходов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В настоящее время осуществляется переход к новой системе обращения с твердыми коммунальными отходами, в соответствии с которой сбор, транспортировка, утилизация, обезвреживание, захоронение твердых коммунальных отходов на территории Кабардино-Балкарской Ре</w:t>
            </w:r>
            <w:r>
              <w:t>спублики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 28 апреля 2018 г. между Министерством строительства, жилищно-коммунального и дорожного хо</w:t>
            </w:r>
            <w:r>
              <w:t>зяйства Кабардино-Балкарской</w:t>
            </w:r>
            <w:proofErr w:type="gramEnd"/>
            <w:r>
              <w:t xml:space="preserve"> Республики и обществом с ограниченной ответственностью "</w:t>
            </w:r>
            <w:proofErr w:type="spellStart"/>
            <w:r>
              <w:t>Экологистика</w:t>
            </w:r>
            <w:proofErr w:type="spellEnd"/>
            <w:r>
              <w:t>" подписано 3 соглашения об организации деятельности по обращению с твердыми коммунальными отходами на территории Кабардино-Балкарской Республики (1, 2, 3 зоны</w:t>
            </w:r>
            <w:r>
              <w:t xml:space="preserve"> деятельности регионального оператора).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Статус регионального оператора присвоен на период с 28 апреля 2018 г. по 28 апреля 2026 г. (8 лет).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Проведен конкурсный отбор операторов по вывозу твердых коммунальных отходов. </w:t>
            </w:r>
            <w:hyperlink r:id="rId25" w:tooltip="Приказ ГКТ и ЖН КБР от 20.12.2019 N 104 (ред. от 16.12.2021) &quot;Об установлении единого предельного тарифа на услугу регионального оператора по обращению с твердыми коммунальными отходами общества с ограниченной ответственностью &quot;Экологистика&quot; на 2020 - 2022 год">
              <w:proofErr w:type="gramStart"/>
              <w:r>
                <w:rPr>
                  <w:color w:val="0000FF"/>
                </w:rPr>
                <w:t>Приказом</w:t>
              </w:r>
            </w:hyperlink>
            <w:r>
              <w:t xml:space="preserve"> Государственного комитета Кабардино-Балкарской Республики по тарифам и жилищному надзору Кабардино-Балкарской Республики от</w:t>
            </w:r>
            <w:r>
              <w:t xml:space="preserve"> 20 декабря 2019 г. N 104 "Об установлении единого предельного тарифа на услугу регионального оператора по обращению с твердыми коммунальными отходами общества с ограниченной ответственностью "</w:t>
            </w:r>
            <w:proofErr w:type="spellStart"/>
            <w:r>
              <w:t>Экологистика</w:t>
            </w:r>
            <w:proofErr w:type="spellEnd"/>
            <w:r>
              <w:t>" на 2020 - 2022 годы" установлены предельные тариф</w:t>
            </w:r>
            <w:r>
              <w:t>ы для жителей многоквартирных домов, индивидуальных жилых домов и иных потребителей без налога на добавленную</w:t>
            </w:r>
            <w:proofErr w:type="gramEnd"/>
            <w:r>
              <w:t xml:space="preserve"> стоимость.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 1 января 2019 г. общество с ограниченной ответственностью "</w:t>
            </w:r>
            <w:proofErr w:type="spellStart"/>
            <w:r>
              <w:t>Экологистика</w:t>
            </w:r>
            <w:proofErr w:type="spellEnd"/>
            <w:r>
              <w:t>" приступило к своим обязанностям на всей территории республик</w:t>
            </w:r>
            <w:r>
              <w:t>и. Доля организаций частной формы собственности на рынке по состоянию на 1 января 2023 г. составляет 100%.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Рынок сбора и транспортирования твердых коммунальных отходов в Кабардино-Балкарской Республике можно охарактеризовать как высококонцентрированный с н</w:t>
            </w:r>
            <w:r>
              <w:t>еразвитой конкуренцией.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Основной проблемой на рынке является качество оказываемых услуг, в </w:t>
            </w:r>
            <w:proofErr w:type="gramStart"/>
            <w:r>
              <w:t>связи</w:t>
            </w:r>
            <w:proofErr w:type="gramEnd"/>
            <w:r>
              <w:t xml:space="preserve"> с чем необходимо предпринимать меры по повышению качества услуг по транспортировке твердых коммунальных отходов и обеспечению равного доступа хозяйствующих суб</w:t>
            </w:r>
            <w:r>
              <w:t>ъектов всех форм собственности к оказанию услуг на данном рынке.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Сдерживающими факторами на рынке услуг по сбору и транспортированию твердых коммунальных отходов в 2022 году являлись: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отсутствие концепции развития обращения с твердыми коммунальными отходам</w:t>
            </w:r>
            <w:r>
              <w:t>и на территории республики;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>отсутствие раздельного сбора твердых коммунальных отходов, а также нехватка контейнерных площадок и контейнеров на территории республики.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строительства и жилищно-коммунального хозяйства Кабардин</w:t>
            </w:r>
            <w:r>
              <w:t>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31.1. Проведение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отходами, в форме электронного аукциона в отношении всего объема </w:t>
            </w:r>
            <w:r>
              <w:t>твердых коммунальных отходов, образующихся в зоне (зонах) его деятельности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экономической эффективности и конкурентоспособности хозяйствующих субъектов на рынке транспортирования твердых коммунальных отходов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</w:t>
            </w:r>
            <w:r>
              <w:t>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Министерство строительства и жилищно-коммунального хозяйства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31.2. Проведение "круглых столов"</w:t>
            </w:r>
            <w:r>
              <w:t xml:space="preserve">, </w:t>
            </w:r>
            <w:proofErr w:type="spellStart"/>
            <w:r>
              <w:t>вебинаров</w:t>
            </w:r>
            <w:proofErr w:type="spellEnd"/>
            <w:r>
              <w:t>, консультаций с действующими и потенциальными предпринимателями и коммерческими организациями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стимулирование новых предпринимательских инициатив и частной инициативы по транспортированию твердых коммунальных отходов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объем тверд</w:t>
            </w:r>
            <w:r>
              <w:t>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31.3. Разделение региональным оператором на большее количество лотов услуги по транспортированию твердых коммунальных отходов в зоне его деятельности, а также увеличение объема услуг по транспортированию твердых коммунальных отходов, выделенных в отдельные</w:t>
            </w:r>
            <w:r>
              <w:t xml:space="preserve"> лоты, участниками аукционов по которым могут быть только субъекты малого и среднего предпринимательства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организаций частной формы собственности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Отрасль связи Кабардино-Балкарской Республики образована предприятиями электрической связи, которые представлены следующим образом: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3 оператора связи, имеющих лицензии на оказание услуг местной телефонной связи и внутризоновой связи: ПАО "Ростелеком", ПАО </w:t>
            </w:r>
            <w:r>
              <w:t>"Мегафон", ОАО "Южные телефонные сети";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10 операторов связи, имеющих лицензии на оказание услуг местной телефонной связи и внутризоновой связи: ПАО "Ростелеком", ПАО "</w:t>
            </w:r>
            <w:proofErr w:type="spellStart"/>
            <w:r>
              <w:t>Вымпелком</w:t>
            </w:r>
            <w:proofErr w:type="spellEnd"/>
            <w:r>
              <w:t>", ООО "</w:t>
            </w:r>
            <w:proofErr w:type="spellStart"/>
            <w:r>
              <w:t>Коннэкт</w:t>
            </w:r>
            <w:proofErr w:type="spellEnd"/>
            <w:r>
              <w:t>", ООО "Компания Транс", ООО "МНС Телеком", ПАО "МТС", ПАО "МТТ",</w:t>
            </w:r>
            <w:r>
              <w:t xml:space="preserve"> ПАО "Мегафон", ПАО "Мобифон-2000", ООО "</w:t>
            </w:r>
            <w:proofErr w:type="spellStart"/>
            <w:r>
              <w:t>Эквант</w:t>
            </w:r>
            <w:proofErr w:type="spellEnd"/>
            <w:r>
              <w:t>";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11 операторов связи, имеющих лицензии на предоставление услуги доступа в сеть Интернет, таких, как ПАО "Ростелеком", ПАО "</w:t>
            </w:r>
            <w:proofErr w:type="spellStart"/>
            <w:r>
              <w:t>Вымпелком</w:t>
            </w:r>
            <w:proofErr w:type="spellEnd"/>
            <w:r>
              <w:t>", ПАО "МТС", ПАО "Мегафон", ИП "</w:t>
            </w:r>
            <w:proofErr w:type="spellStart"/>
            <w:r>
              <w:t>Кушхов</w:t>
            </w:r>
            <w:proofErr w:type="spellEnd"/>
            <w:r>
              <w:t>", ООО "АТЭС", ООО "</w:t>
            </w:r>
            <w:proofErr w:type="spellStart"/>
            <w:r>
              <w:t>Скайнет</w:t>
            </w:r>
            <w:proofErr w:type="spellEnd"/>
            <w:r>
              <w:t>", ООО "</w:t>
            </w:r>
            <w:proofErr w:type="spellStart"/>
            <w:r>
              <w:t>С</w:t>
            </w:r>
            <w:r>
              <w:t>картел</w:t>
            </w:r>
            <w:proofErr w:type="spellEnd"/>
            <w:r>
              <w:t>", "Майский Телеком", ООО "Нальчик-Телеком", ООО "Южные телефонные сети" и др.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населенных пунктах республики услуги связи предоставляют более одного оператора связи.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Компании ПАО "</w:t>
            </w:r>
            <w:proofErr w:type="spellStart"/>
            <w:r>
              <w:t>Вымпелком</w:t>
            </w:r>
            <w:proofErr w:type="spellEnd"/>
            <w:r>
              <w:t>", ПАО "МТС", ПАО "Мегафон" осуществляют строительство и вв</w:t>
            </w:r>
            <w:r>
              <w:t>од в эксплуатацию базовых станций стандарта LTE в районах и городах Кабардино-Балкарской Республики, в целях увеличения зоны 4G-покрытия в республике.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Связь является перспективной и динамично развивающейся отраслью Кабардино-Балкарской Республики, обладающ</w:t>
            </w:r>
            <w:r>
              <w:t>ей потенциалом долгосрочного экономического роста. Одним из наиболее востребованных видов связи у населения региона является услуга широкополосного доступа в сеть Интернет (фиксированного и мобильного).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Условием для развития конкуренции на рынке услуг является создание условий для развития конкуренции на рынке услуг широкополосного доступа к сети Интернет.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Для размещения объектов связи местные администрации муниципальных районов, городских округов республ</w:t>
            </w:r>
            <w:r>
              <w:t xml:space="preserve">ики предоставляют земельные участки в соответствии с </w:t>
            </w:r>
            <w:hyperlink r:id="rId26" w:tooltip="Постановление Правительства РФ от 03.12.2014 N 1300 (ред. от 21.03.2023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</w:t>
            </w:r>
            <w:r>
              <w:t>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</w:t>
            </w:r>
            <w:r>
              <w:t>ния сервитутов", а также в соответствии с</w:t>
            </w:r>
            <w:proofErr w:type="gramEnd"/>
            <w:r>
              <w:t xml:space="preserve"> </w:t>
            </w:r>
            <w:hyperlink r:id="rId27" w:tooltip="&quot;Земельный кодекс Российской Федерации&quot; от 25.10.2001 N 136-ФЗ (ред. от 24.06.2023) ------------ Недействующая редакция {КонсультантПлюс}">
              <w:r>
                <w:rPr>
                  <w:color w:val="0000FF"/>
                </w:rPr>
                <w:t>подпунктом 4 пункта 2 статьи 39.6</w:t>
              </w:r>
            </w:hyperlink>
            <w:r>
              <w:t xml:space="preserve"> Земельного кодекса Российской Федерации без проведения торгов.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Министерством цифрового развития Кабардино-Балкарской Республики вед</w:t>
            </w:r>
            <w:r>
              <w:t>ется постоянная работа по организационно-методической и информационно-консультативной помощи субъектам предпринимательства, планирующим осуществлять услуги связи.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Аналогичная работа проводится и местными администрациями муниципальных районов и городских ок</w:t>
            </w:r>
            <w:r>
              <w:t>ругов республики.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Доминирующее положение на рынке услуг фиксированного широкополосного доступа к сети Интернет занимают крупные компании-провайдеры: ПАО "Ростелеком". ПАО "МТС".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Анализируя тенденцию роста пользователей фиксированного широкополосного доступ</w:t>
            </w:r>
            <w:r>
              <w:t>а, можно отметить переход рынка в стадию зрелости и постепенного насыщения спроса. Недостаточный и низкий уровень развития конкуренции на рынке фиксированного широкополосного доступа наблюдается в отдаленных районах Кабардино-Балкарской Республики с низкой</w:t>
            </w:r>
            <w:r>
              <w:t xml:space="preserve"> плотностью населения.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Альтернативу фиксированному широкополосному доступу в сеть Интернет составляет мобильный широкополосный доступ с активно развивающимися сетями "нового поколения" 4G и увеличивающейся скоростью передачи данных. Все операторы мобильной</w:t>
            </w:r>
            <w:r>
              <w:t xml:space="preserve"> связи предоставляют услуги доступа к сети Интернет, что повышает конкуренцию на рынке доступа к сети Интернет в целом на всей территории Кабардино-Балкарской Республики. Безусловными лидерами на рынке услуг мобильного широкополосного доступа к сети Интерн</w:t>
            </w:r>
            <w:r>
              <w:t>ет в Кабардино-Балкарской Республике является "большая тройка" операторов федерального уровня: ОАО "Мегафон", ОАО "МТС", ОАО "ВымпелКом" (Билайн).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gramStart"/>
            <w:r>
              <w:t>Ключевыми факторами, препятствующими развитию конкуренции, являются инфраструктурные и административные барье</w:t>
            </w:r>
            <w:r>
              <w:t>ры, такие, как необходимость создания материально-технической базы (строительство базовых станций, сетевой инфраструктуры), потребность в наличии рабочих проектов сети связи, прошедших государственную экспертизу, большой процент износа оборудования линий с</w:t>
            </w:r>
            <w:r>
              <w:t>вязи, длительные сроки согласования предоставления земельных участков для размещения объектов и сетей связи, малочисленность и низкая платежеспособность населения в сельских населенных пунктах.</w:t>
            </w:r>
            <w:proofErr w:type="gramEnd"/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Основной задачей по развитию конкуренции на рынке является снижение административных барьеров.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В целом рынок предоставления широкополосного доступа к сети Интернет, за исключением отдельных отдаленных населенных пунктов Кабардино-Балкарской Республики, хар</w:t>
            </w:r>
            <w:r>
              <w:t>актеризуется развитой конкуренцией.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Министерство цифрового развития 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32.1. Оказание организационно-методической и информационно-консультативной помощи субъектам </w:t>
            </w:r>
            <w:r>
              <w:lastRenderedPageBreak/>
              <w:t>предпринимательства, планирующим осуществ</w:t>
            </w:r>
            <w:r>
              <w:t>лять услуги связи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повышение информационной грамотности </w:t>
            </w:r>
            <w:r>
              <w:lastRenderedPageBreak/>
              <w:t>предпринимателей, планирующих осуществлять услуги связи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2022 - 2025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увеличение количества объектов государственной и </w:t>
            </w:r>
            <w:r>
              <w:lastRenderedPageBreak/>
              <w:t>муниципальной собственности, фактически используемых операторами связи для разм</w:t>
            </w:r>
            <w:r>
              <w:t>ещения и строительства сетей и сооружений связи, процентов по отношению к показателям 2019 года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109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91,5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 xml:space="preserve">Министерство цифрового развития </w:t>
            </w:r>
            <w:r>
              <w:lastRenderedPageBreak/>
              <w:t>Кабардино-Балкарской Республики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32.2. Увеличение доли хозяйствующих субъектов частной формы собственности в общем количестве хозяйствующих субъектов в сфере услуг связи по предоставлению широкополосного доступа к сети Интернет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увеличение количества негосударственных операторов связи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</w:t>
            </w:r>
            <w:r>
              <w:t xml:space="preserve"> - 2025 годы</w:t>
            </w:r>
          </w:p>
        </w:tc>
        <w:tc>
          <w:tcPr>
            <w:tcW w:w="2154" w:type="dxa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оказания услуг по предоставлению широкополосного доступа к сети Интернет, процентов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99,5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услуг в сфере наружной рекламы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По состоянию на 1 января 2023 г. на территории Кабардино-Балкарской Республики в сфере наружной рекламы осуществляли деятельность 12 хозяйствующих субъектов, имеющих исключительно частную форму собственности. Потребителями (покупателями) услуги по распрост</w:t>
            </w:r>
            <w:r>
              <w:t>ранению наружной рекламы являются как юридические, так и физические лица (индивидуальные предприниматели), желающие разместить на рекламных конструкциях рекламу своей деятельности. Рынок характеризуется высоким уровнем развития конкуренции. Основной пробле</w:t>
            </w:r>
            <w:r>
              <w:t xml:space="preserve">мой на рассматриваемом рынке является наличие теневого сектора. Основными задачами на рынке являются выявление и демонтаж незаконных рекламных </w:t>
            </w:r>
            <w:proofErr w:type="gramStart"/>
            <w:r>
              <w:t>конструкций</w:t>
            </w:r>
            <w:proofErr w:type="gramEnd"/>
            <w:r>
              <w:t xml:space="preserve"> и обеспечение честной конкуренции. Основными барьерами входа новых хозяйствующих субъектов на рынок я</w:t>
            </w:r>
            <w:r>
              <w:t>вляются административные ограничения; экономические и организационные ограничения. Экономическим барьером является значительный размер первоначального капитала для создания и установки рекламной конструкции.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Рынок характеризуется высоким уровнем развития к</w:t>
            </w:r>
            <w:r>
              <w:t xml:space="preserve">онкуренции. Основным фактором, влияющим на развитие конкуренции на данном рынке, является наличие теневого сектора. Основными задачами на рынке являются выявление и демонтаж незаконных рекламных </w:t>
            </w:r>
            <w:proofErr w:type="gramStart"/>
            <w:r>
              <w:t>конструкций</w:t>
            </w:r>
            <w:proofErr w:type="gramEnd"/>
            <w:r>
              <w:t xml:space="preserve"> и обеспечение честной конкуренции. Барьерами вход</w:t>
            </w:r>
            <w:r>
              <w:t>а новых хозяйствующих субъектов на рынок являются административные, экономические и законодательные ограничения.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Экономические барьеры: высокий уровень затрат на организацию дела, высокая арендная плата за офисные помещения, нехватка средств найма квалифиц</w:t>
            </w:r>
            <w:r>
              <w:t>ированных специалистов и средств на их подготовку (переподготовку), высокие налоги, высокая цена за установку рекламных конструкций.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Административные барьеры: наличие ограничений деятельности субъектов на рынке наружной рекламы, выдвигаемых органами власти</w:t>
            </w:r>
            <w:r>
              <w:t xml:space="preserve"> и управления.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Основным фактором, влияющим на развитие конкуренции на данном рынке, является наличие теневого сектора.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 xml:space="preserve">Основными задачами на рынке являются выявление и демонтаж незаконных рекламных </w:t>
            </w:r>
            <w:proofErr w:type="gramStart"/>
            <w:r>
              <w:t>конструкций</w:t>
            </w:r>
            <w:proofErr w:type="gramEnd"/>
            <w:r>
              <w:t xml:space="preserve"> и обеспечение честной конкуренции на рынке.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lastRenderedPageBreak/>
              <w:t>Ис</w:t>
            </w:r>
            <w:r>
              <w:t>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33.1. Выявление и осуществление демонтажа незаконных рекламных конструкций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осуществление контроля по размещению рекламных конструкций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33.2. Размещение на официальных сайтах органов местного самоуправления перечня нормативных правовых актов, регулирующих сферы наружной рекламы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повышение уровня информированности предпринимателей об услугах в сфере наружной рекламы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jc w:val="center"/>
              <w:outlineLvl w:val="2"/>
            </w:pPr>
            <w:r>
              <w:t>Рынок ритуальных услуг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8142" w:type="dxa"/>
            <w:gridSpan w:val="11"/>
          </w:tcPr>
          <w:p w:rsidR="00FE48CF" w:rsidRDefault="001B0C2E">
            <w:pPr>
              <w:pStyle w:val="ConsPlusNormal0"/>
              <w:ind w:firstLine="283"/>
              <w:jc w:val="both"/>
            </w:pPr>
            <w:r>
              <w:t>Рынок ритуальных услуг является одной из наиболее социально значимых отраслей и затрагивает интересы всего населения Кабардино-Балкарской Республики. В 2022 году похоронные и ритуальные услуги в Кабардино-Балкарской Республике оказывали 76 хозяйствующих су</w:t>
            </w:r>
            <w:r>
              <w:t>бъектов частной формы собственности.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Данный рынок характеризуется наличием недобросовестной конкуренции вследствие превалирования некомпетентных и криминализированных "игроков", основная задача которых получить прибыль в сложной жизненной ситуации граждан,</w:t>
            </w:r>
            <w:r>
              <w:t xml:space="preserve"> связанной с потерей родных и близких.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Также на рынке ритуальных услуг существуют следующие административные и экономические барьеры входа на рынок: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proofErr w:type="spellStart"/>
            <w:r>
              <w:t>тенизация</w:t>
            </w:r>
            <w:proofErr w:type="spellEnd"/>
            <w:r>
              <w:t xml:space="preserve"> рынка ритуальных услуг, сложность процедуры получения статуса специализированной службы, создание</w:t>
            </w:r>
            <w:r>
              <w:t xml:space="preserve"> новых мест погребения, рынки в муниципальных районах с небольшим количеством населения непривлекательны для рассматриваемого вида деятельности с точки зрения систематического получения дохода.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Направлениями развития рынка являются создание прозрачного рын</w:t>
            </w:r>
            <w:r>
              <w:t>ка ритуальных услуг, обеспечение качества и доступности ритуальных услуг для всех категорий населения, развитие нормативной правовой базы в сфере ритуальных услуг.</w:t>
            </w:r>
          </w:p>
          <w:p w:rsidR="00FE48CF" w:rsidRDefault="001B0C2E">
            <w:pPr>
              <w:pStyle w:val="ConsPlusNormal0"/>
              <w:ind w:firstLine="283"/>
              <w:jc w:val="both"/>
            </w:pPr>
            <w:r>
              <w:t>Источник информации: местные администрации муниципальных районов, городских округов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34.1. Оказание организационно-методической и информационно-консультативной помощи субъектам предпринимательства, планирующим осуществлять деятельность в сфере ритуальных услуг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 xml:space="preserve">повышение информационной грамотности предпринимателей, планирующих осуществлять </w:t>
            </w:r>
            <w:r>
              <w:t>деятельность в сфере ритуальных услуг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2022 - 2025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 xml:space="preserve">34.2. Организация межведомственного взаимодействия </w:t>
            </w:r>
            <w:r>
              <w:lastRenderedPageBreak/>
              <w:t xml:space="preserve">в целях оказания услуг по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</w:t>
            </w:r>
            <w:r>
              <w:t>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 xml:space="preserve">обеспечение прозрачности и </w:t>
            </w:r>
            <w:r>
              <w:lastRenderedPageBreak/>
              <w:t>минимизации временных затрат при оформлении документов и оказании услуг по погребению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lastRenderedPageBreak/>
              <w:t>2022 - 2025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34.3. Создание и размещение на региональном портале государственных и муниципальных услуг реестра кладбищ и мест захоронений на них, в которые включены сведения о существующих кладбищах и местах захоронений на них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доступа потребителей к информа</w:t>
            </w:r>
            <w:r>
              <w:t>ции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2023 - 2025 годы</w:t>
            </w:r>
          </w:p>
        </w:tc>
        <w:tc>
          <w:tcPr>
            <w:tcW w:w="2154" w:type="dxa"/>
            <w:vMerge w:val="restart"/>
          </w:tcPr>
          <w:p w:rsidR="00FE48CF" w:rsidRDefault="001B0C2E">
            <w:pPr>
              <w:pStyle w:val="ConsPlusNormal0"/>
              <w:jc w:val="center"/>
            </w:pPr>
            <w:r>
              <w:t>доля кладбищ, в отношении которых размещена информация на региональном портале государственных и муниципальных услуг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vMerge w:val="restart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57" w:type="dxa"/>
            <w:gridSpan w:val="2"/>
            <w:vMerge w:val="restart"/>
          </w:tcPr>
          <w:p w:rsidR="00FE48CF" w:rsidRDefault="00FE48CF">
            <w:pPr>
              <w:pStyle w:val="ConsPlusNormal0"/>
            </w:pPr>
          </w:p>
        </w:tc>
      </w:tr>
      <w:tr w:rsidR="00FE48CF">
        <w:tc>
          <w:tcPr>
            <w:tcW w:w="566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3685" w:type="dxa"/>
          </w:tcPr>
          <w:p w:rsidR="00FE48CF" w:rsidRDefault="001B0C2E">
            <w:pPr>
              <w:pStyle w:val="ConsPlusNormal0"/>
              <w:jc w:val="both"/>
            </w:pPr>
            <w:r>
              <w:t>34.4. Создание и размещение на региональном портале государственных и муниципальных услуг реестра хозяйствующих субъектов, имеющих право на оказание услуг по организации похорон</w:t>
            </w:r>
          </w:p>
        </w:tc>
        <w:tc>
          <w:tcPr>
            <w:tcW w:w="2324" w:type="dxa"/>
          </w:tcPr>
          <w:p w:rsidR="00FE48CF" w:rsidRDefault="001B0C2E">
            <w:pPr>
              <w:pStyle w:val="ConsPlusNormal0"/>
              <w:jc w:val="center"/>
            </w:pPr>
            <w:r>
              <w:t>обеспечение доступа потребителей и организаций к информации о хозяйствующих су</w:t>
            </w:r>
            <w:r>
              <w:t>бъектах, имеющих право на оказание услуг по организации похорон</w:t>
            </w:r>
          </w:p>
        </w:tc>
        <w:tc>
          <w:tcPr>
            <w:tcW w:w="1417" w:type="dxa"/>
            <w:vAlign w:val="center"/>
          </w:tcPr>
          <w:p w:rsidR="00FE48CF" w:rsidRDefault="001B0C2E">
            <w:pPr>
              <w:pStyle w:val="ConsPlusNormal0"/>
              <w:jc w:val="center"/>
            </w:pPr>
            <w:r>
              <w:t>2022 - 2025 годы</w:t>
            </w:r>
          </w:p>
        </w:tc>
        <w:tc>
          <w:tcPr>
            <w:tcW w:w="2154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361" w:type="dxa"/>
            <w:vMerge/>
          </w:tcPr>
          <w:p w:rsidR="00FE48CF" w:rsidRDefault="00FE48CF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FE48CF" w:rsidRDefault="00FE48CF">
            <w:pPr>
              <w:pStyle w:val="ConsPlusNormal0"/>
            </w:pPr>
          </w:p>
        </w:tc>
      </w:tr>
    </w:tbl>
    <w:p w:rsidR="00FE48CF" w:rsidRDefault="00FE48CF">
      <w:pPr>
        <w:pStyle w:val="ConsPlusNormal0"/>
        <w:sectPr w:rsidR="00FE48CF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E48CF" w:rsidRDefault="00FE48CF">
      <w:pPr>
        <w:pStyle w:val="ConsPlusNormal0"/>
        <w:jc w:val="both"/>
      </w:pPr>
    </w:p>
    <w:p w:rsidR="00FE48CF" w:rsidRDefault="001B0C2E">
      <w:pPr>
        <w:pStyle w:val="ConsPlusNormal0"/>
        <w:ind w:firstLine="540"/>
        <w:jc w:val="both"/>
      </w:pPr>
      <w:r>
        <w:t>--------------------------------</w:t>
      </w:r>
    </w:p>
    <w:p w:rsidR="00FE48CF" w:rsidRDefault="001B0C2E">
      <w:pPr>
        <w:pStyle w:val="ConsPlusNormal0"/>
        <w:spacing w:before="200"/>
        <w:ind w:firstLine="540"/>
        <w:jc w:val="both"/>
      </w:pPr>
      <w:bookmarkStart w:id="2" w:name="P1170"/>
      <w:bookmarkEnd w:id="2"/>
      <w:r>
        <w:t>&lt;*&gt; Определение исполнителями мероприятий "дорожной карты" территориальных органов федеральных органов исполнительной власти, органов местного самоуправления имеет рекомендательный характер, участие в реализации соответству</w:t>
      </w:r>
      <w:r>
        <w:t>ющих мероприятий осуществляется в пределах компетенции указанных органов.</w:t>
      </w:r>
    </w:p>
    <w:p w:rsidR="00FE48CF" w:rsidRDefault="001B0C2E">
      <w:pPr>
        <w:pStyle w:val="ConsPlusNormal0"/>
        <w:spacing w:before="200"/>
        <w:ind w:firstLine="540"/>
        <w:jc w:val="both"/>
      </w:pPr>
      <w:bookmarkStart w:id="3" w:name="P1171"/>
      <w:bookmarkEnd w:id="3"/>
      <w:proofErr w:type="gramStart"/>
      <w:r>
        <w:t xml:space="preserve">&lt;**&gt; Минимальные значения ключевых показателей установлены Национальным </w:t>
      </w:r>
      <w:hyperlink r:id="rId32" w:tooltip="Распоряжение Правительства РФ от 02.09.2021 N 2424-р (ред. от 27.05.2023) &lt;Об утверждении Национального плана (&quot;дорожной карты&quot;) развития конкуренции в Российской Федерации на 2021 - 2025 годы&gt; ------------ Недействующая редакция {КонсультантПлюс}">
        <w:r>
          <w:rPr>
            <w:color w:val="0000FF"/>
          </w:rPr>
          <w:t>планом</w:t>
        </w:r>
      </w:hyperlink>
      <w:r>
        <w:t xml:space="preserve"> ("дорожной картой") развития конкуренции в Российской Федерации на 2021 - 2025 годы, утвержденным распоряжением Правительства Российской Федерации от 2 сентября 2021 г. N 2424-р, а также </w:t>
      </w:r>
      <w:hyperlink r:id="rId33" w:tooltip="Распоряжение Правительства РФ от 17.04.2019 N 768-р &lt;Об утверждении стандарта развития конкуренции в субъектах Российской Федерации&gt; {КонсультантПлюс}">
        <w:r>
          <w:rPr>
            <w:color w:val="0000FF"/>
          </w:rPr>
          <w:t>стандартом</w:t>
        </w:r>
      </w:hyperlink>
      <w:r>
        <w:t xml:space="preserve"> развития конкуренции в субъектах Российской Федерации, утвержденным распоряжением Правительства Российской Федерации от 17 апреля 2019 г. N 768-р.</w:t>
      </w:r>
      <w:proofErr w:type="gramEnd"/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jc w:val="both"/>
      </w:pPr>
    </w:p>
    <w:p w:rsidR="00FE48CF" w:rsidRDefault="00FE48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48CF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2E" w:rsidRDefault="001B0C2E">
      <w:r>
        <w:separator/>
      </w:r>
    </w:p>
  </w:endnote>
  <w:endnote w:type="continuationSeparator" w:id="0">
    <w:p w:rsidR="001B0C2E" w:rsidRDefault="001B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48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48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E48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E48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48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48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48CF" w:rsidRDefault="001B0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48CF" w:rsidRDefault="001B0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48CF" w:rsidRDefault="001B0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F7B29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FE48CF" w:rsidRDefault="001B0C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2E" w:rsidRDefault="001B0C2E">
      <w:r>
        <w:separator/>
      </w:r>
    </w:p>
  </w:footnote>
  <w:footnote w:type="continuationSeparator" w:id="0">
    <w:p w:rsidR="001B0C2E" w:rsidRDefault="001B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48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48CF" w:rsidRDefault="001B0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</w:t>
          </w:r>
          <w:r>
            <w:rPr>
              <w:rFonts w:ascii="Tahoma" w:hAnsi="Tahoma" w:cs="Tahoma"/>
              <w:sz w:val="16"/>
              <w:szCs w:val="16"/>
            </w:rPr>
            <w:t>е Главы КБР от 03.07.2023 N 211-РГ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Плана мероприятий ("дорожной карты") по содействию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E48CF" w:rsidRDefault="001B0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28.11.2023</w:t>
          </w: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48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48CF" w:rsidRDefault="00FE48C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E48CF" w:rsidRDefault="00FE48C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E48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E48CF" w:rsidRDefault="001B0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КБР от 03.07.2023 N 211-РГ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Плана мероприятий ("дорожной карты") по содействию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E48CF" w:rsidRDefault="001B0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E48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E48CF" w:rsidRDefault="001B0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КБР от 03.07.2023 N 211-РГ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Плана мероприятий ("дорожной карты") по содействию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E48CF" w:rsidRDefault="001B0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48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48CF" w:rsidRDefault="001B0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КБР от 03.07.2023</w:t>
          </w:r>
          <w:r>
            <w:rPr>
              <w:rFonts w:ascii="Tahoma" w:hAnsi="Tahoma" w:cs="Tahoma"/>
              <w:sz w:val="16"/>
              <w:szCs w:val="16"/>
            </w:rPr>
            <w:t xml:space="preserve"> N 211-РГ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Плана мероприятий ("дорожной карты") по содействию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E48CF" w:rsidRDefault="001B0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48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48CF" w:rsidRDefault="001B0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КБР от 03.07.2023 N 211-РГ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б утверждении Плана мероприятий ("дорожной карты") по содействию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развити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E48CF" w:rsidRDefault="001B0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 w:rsidR="00FE48CF" w:rsidRDefault="00FE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48CF" w:rsidRDefault="00FE48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8CF"/>
    <w:rsid w:val="001B0C2E"/>
    <w:rsid w:val="005F7B29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F7B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B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7B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7B29"/>
  </w:style>
  <w:style w:type="paragraph" w:styleId="a7">
    <w:name w:val="footer"/>
    <w:basedOn w:val="a"/>
    <w:link w:val="a8"/>
    <w:uiPriority w:val="99"/>
    <w:unhideWhenUsed/>
    <w:rsid w:val="005F7B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7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B297EC9907BA118B706F0D1B44B442B1035D8505E74BBEA51CB0620B90E3BC1047084E466C0F6E86983F92DA1EF334203AFE988F1F785587B97L5Y1M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26AB297EC9907BA118B706F0D1B44B442B1035D8505872B9EB51CB0620B90E3BC1047096E43ECCF4E07782F138F7BE75L1Y4M" TargetMode="External"/><Relationship Id="rId26" Type="http://schemas.openxmlformats.org/officeDocument/2006/relationships/hyperlink" Target="consultantplus://offline/ref=26AB297EC9907BA118B718FDC7D816492B1F69D3515D78E9BF0E905B77B0046C944B71CAA263DFF7E97781F024LFY6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AB297EC9907BA118B718FDC7D816492B1A68D7505978E9BF0E905B77B0046C944B71CAA263DFF7E97781F024LFY6M" TargetMode="External"/><Relationship Id="rId34" Type="http://schemas.openxmlformats.org/officeDocument/2006/relationships/header" Target="header5.xml"/><Relationship Id="rId7" Type="http://schemas.openxmlformats.org/officeDocument/2006/relationships/hyperlink" Target="consultantplus://offline/ref=2E5400410007C306BD7FEBB882986133F1FCFD072AC75C5421E1CDF69987A1D5444E0C66FC6D2EF17EA2EA4D558ED4FEEB1F1688040D0B78KFYDM" TargetMode="Externa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6AB297EC9907BA118B718FDC7D816492B186DD0505F78E9BF0E905B77B0046C944B71CAA263DFF7E97781F024LFY6M" TargetMode="External"/><Relationship Id="rId25" Type="http://schemas.openxmlformats.org/officeDocument/2006/relationships/hyperlink" Target="consultantplus://offline/ref=26AB297EC9907BA118B706F0D1B44B442B1035D8505D75B9E751CB0620B90E3BC1047096E43ECCF4E07782F138F7BE75L1Y4M" TargetMode="External"/><Relationship Id="rId33" Type="http://schemas.openxmlformats.org/officeDocument/2006/relationships/hyperlink" Target="consultantplus://offline/ref=26AB297EC9907BA118B718FDC7D816492C1968D4585A78E9BF0E905B77B0046C864B29C6A06BC1F7EF62D7A162A0B3751F10ACE088F2F699L5Y9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AB297EC9907BA118B706F0D1B44B442B1035D851507BB9E051CB0620B90E3BC1047084E466C0F6E86982F12DA1EF334203AFE988F1F785587B97L5Y1M" TargetMode="External"/><Relationship Id="rId20" Type="http://schemas.openxmlformats.org/officeDocument/2006/relationships/hyperlink" Target="consultantplus://offline/ref=26AB297EC9907BA118B718FDC7D816492C1A6FD6515978E9BF0E905B77B0046C944B71CAA263DFF7E97781F024LFY6M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26AB297EC9907BA118B718FDC7D816492B1F62D3585978E9BF0E905B77B0046C944B71CAA263DFF7E97781F024LFY6M" TargetMode="External"/><Relationship Id="rId32" Type="http://schemas.openxmlformats.org/officeDocument/2006/relationships/hyperlink" Target="consultantplus://offline/ref=26AB297EC9907BA118B718FDC7D816492B1F63D7505D78E9BF0E905B77B0046C864B29C6A06BC1F4EE62D7A162A0B3751F10ACE088F2F699L5Y9M" TargetMode="External"/><Relationship Id="rId37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6AB297EC9907BA118B706F0D1B44B442B1035D851507BB9E051CB0620B90E3BC1047084E466C0F6E86982F12DA1EF334203AFE988F1F785587B97L5Y1M" TargetMode="External"/><Relationship Id="rId23" Type="http://schemas.openxmlformats.org/officeDocument/2006/relationships/hyperlink" Target="consultantplus://offline/ref=26AB297EC9907BA118B706F0D1B44B442B1035D851517ABCE451CB0620B90E3BC1047084E466C0F6E86982F82DA1EF334203AFE988F1F785587B97L5Y1M" TargetMode="External"/><Relationship Id="rId28" Type="http://schemas.openxmlformats.org/officeDocument/2006/relationships/header" Target="header3.xml"/><Relationship Id="rId36" Type="http://schemas.openxmlformats.org/officeDocument/2006/relationships/header" Target="header6.xml"/><Relationship Id="rId10" Type="http://schemas.openxmlformats.org/officeDocument/2006/relationships/hyperlink" Target="consultantplus://offline/ref=26AB297EC9907BA118B718FDC7D816492B1A6ED7505A78E9BF0E905B77B0046C944B71CAA263DFF7E97781F024LFY6M" TargetMode="External"/><Relationship Id="rId19" Type="http://schemas.openxmlformats.org/officeDocument/2006/relationships/hyperlink" Target="consultantplus://offline/ref=26AB297EC9907BA118B718FDC7D816492C1A62D6585078E9BF0E905B77B0046C864B29C6A06BC2F7ED62D7A162A0B3751F10ACE088F2F699L5Y9M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AB297EC9907BA118B706F0D1B44B442B1035D8505E74BBEA51CB0620B90E3BC1047084E466C0F6E86982F02DA1EF334203AFE988F1F785587B97L5Y1M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26AB297EC9907BA118B718FDC7D816492B1F62D35D5A78E9BF0E905B77B0046C944B71CAA263DFF7E97781F024LFY6M" TargetMode="External"/><Relationship Id="rId27" Type="http://schemas.openxmlformats.org/officeDocument/2006/relationships/hyperlink" Target="consultantplus://offline/ref=26AB297EC9907BA118B718FDC7D816492B1F62D35E5878E9BF0E905B77B0046C864B29C3A76ACAA2B92DD6FD24FDA0761610AFE194LFY3M" TargetMode="External"/><Relationship Id="rId30" Type="http://schemas.openxmlformats.org/officeDocument/2006/relationships/header" Target="header4.xml"/><Relationship Id="rId35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22693</Words>
  <Characters>129353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КБР от 03.07.2023 N 211-РГ
&lt;Об утверждении Плана мероприятий ("дорожной карты") по содействию развитию конкуренции в Кабардино-Балкарской Республике на 2023 - 2025 годы&gt;</vt:lpstr>
    </vt:vector>
  </TitlesOfParts>
  <Company>КонсультантПлюс Версия 4023.00.09</Company>
  <LinksUpToDate>false</LinksUpToDate>
  <CharactersWithSpaces>151743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КБР от 03.07.2023 N 211-РГ
&lt;Об утверждении Плана мероприятий ("дорожной карты") по содействию развитию конкуренции в Кабардино-Балкарской Республике на 2023 - 2025 годы&gt;</dc:title>
  <cp:lastModifiedBy>Пользователь</cp:lastModifiedBy>
  <cp:revision>2</cp:revision>
  <dcterms:created xsi:type="dcterms:W3CDTF">2023-11-28T12:24:00Z</dcterms:created>
  <dcterms:modified xsi:type="dcterms:W3CDTF">2023-11-28T12:29:00Z</dcterms:modified>
</cp:coreProperties>
</file>