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pPr w:horzAnchor="text" w:tblpXSpec="left" w:vertAnchor="text" w:tblpY="1" w:leftFromText="180" w:topFromText="0" w:rightFromText="180" w:bottomFromText="0"/>
        <w:tblW w:w="1630" w:type="dxa"/>
        <w:tblInd w:w="3929" w:type="dxa"/>
        <w:tblLayout w:type="fixed"/>
        <w:tblCellMar>
          <w:left w:w="71" w:type="dxa"/>
          <w:top w:w="0" w:type="dxa"/>
          <w:right w:w="71" w:type="dxa"/>
          <w:bottom w:w="0" w:type="dxa"/>
        </w:tblCellMar>
        <w:tblLook w:val="04A0" w:firstRow="1" w:lastRow="0" w:firstColumn="1" w:lastColumn="0" w:noHBand="0" w:noVBand="1"/>
      </w:tblPr>
      <w:tblGrid>
        <w:gridCol w:w="1630"/>
      </w:tblGrid>
      <w:tr>
        <w:tblPrEx/>
        <w:trPr>
          <w:trHeight w:val="1276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1630" w:type="dxa"/>
            <w:vAlign w:val="center"/>
            <w:textDirection w:val="lrTb"/>
            <w:noWrap w:val="false"/>
          </w:tcPr>
          <w:p>
            <w:pPr>
              <w:pStyle w:val="865"/>
              <w:jc w:val="center"/>
              <w:spacing w:line="360" w:lineRule="auto"/>
              <w:rPr>
                <w:sz w:val="22"/>
              </w:rPr>
              <w:framePr w:hSpace="180" w:wrap="around" w:vAnchor="text" w:hAnchor="text" w:y="1"/>
            </w:pPr>
            <w:r>
              <w:rPr>
                <w:sz w:val="22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630936" cy="672084"/>
                      <wp:effectExtent l="0" t="0" r="0" b="0"/>
                      <wp:docPr id="1" name="_x0000_i1027"/>
                      <wp:cNvGraphicFramePr/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"/>
                              <pic:cNvPicPr/>
                              <pic:nvPr/>
                            </pic:nvPicPr>
                            <pic:blipFill>
                              <a:blip r:embed="rId9"/>
                              <a:stretch/>
                            </pic:blipFill>
                            <pic:spPr bwMode="auto">
                              <a:xfrm>
                                <a:off x="0" y="0"/>
                                <a:ext cx="630936" cy="672084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49.68pt;height:52.92pt;mso-wrap-distance-left:0.00pt;mso-wrap-distance-top:0.00pt;mso-wrap-distance-right:0.00pt;mso-wrap-distance-bottom:0.00pt;" stroked="f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sz w:val="22"/>
              </w:rPr>
            </w:r>
            <w:r>
              <w:rPr>
                <w:sz w:val="22"/>
              </w:rPr>
            </w:r>
          </w:p>
        </w:tc>
      </w:tr>
    </w:tbl>
    <w:p>
      <w:pPr>
        <w:pStyle w:val="869"/>
        <w:ind w:left="0" w:firstLine="0"/>
        <w:spacing w:line="360" w:lineRule="auto"/>
        <w:rPr>
          <w:color w:val="000000"/>
        </w:rPr>
      </w:pPr>
      <w:r>
        <w:rPr>
          <w:color w:val="000000"/>
        </w:rPr>
        <w:br w:type="textWrapping" w:clear="all"/>
      </w:r>
      <w:r>
        <w:rPr>
          <w:color w:val="000000"/>
        </w:rPr>
      </w:r>
      <w:r>
        <w:rPr>
          <w:color w:val="000000"/>
        </w:rPr>
      </w:r>
    </w:p>
    <w:p>
      <w:pPr>
        <w:pStyle w:val="869"/>
        <w:ind w:left="0" w:firstLine="0"/>
        <w:spacing w:line="360" w:lineRule="auto"/>
        <w:rPr>
          <w:color w:val="000000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</w:rPr>
      </w:r>
    </w:p>
    <w:p>
      <w:pPr>
        <w:pStyle w:val="869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869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  <w:highlight w:val="none"/>
        </w:rPr>
      </w:r>
      <w:r>
        <w:rPr>
          <w:color w:val="000000"/>
          <w:highlight w:val="none"/>
        </w:rPr>
      </w:r>
      <w:r>
        <w:rPr>
          <w:color w:val="000000"/>
          <w:highlight w:val="none"/>
        </w:rPr>
      </w:r>
    </w:p>
    <w:p>
      <w:pPr>
        <w:pStyle w:val="869"/>
        <w:ind w:left="0" w:firstLine="0"/>
        <w:spacing w:line="360" w:lineRule="auto"/>
        <w:rPr>
          <w:color w:val="000000"/>
          <w:highlight w:val="none"/>
        </w:rPr>
      </w:pPr>
      <w:r>
        <w:rPr>
          <w:color w:val="000000"/>
        </w:rPr>
      </w:r>
      <w:r>
        <w:rPr>
          <w:color w:val="000000"/>
        </w:rPr>
        <w:t xml:space="preserve">ЭЛЬБРУССКАЯ  ТЕРРИТОРИАЛЬНАЯ ИЗБИРАТЕЛЬНАЯ КОМИССИЯ          КАБАРДИНО-БАЛКАРСКОЙ РЕСПУБЛИКИ</w:t>
      </w:r>
      <w:r>
        <w:rPr>
          <w:color w:val="000000"/>
        </w:rPr>
      </w:r>
      <w:r>
        <w:rPr>
          <w:color w:val="000000"/>
          <w:highlight w:val="none"/>
        </w:rPr>
      </w:r>
    </w:p>
    <w:p>
      <w:pPr>
        <w:pStyle w:val="875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875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РЕШЕНИЕ</w:t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875"/>
        <w:jc w:val="center"/>
        <w:widowControl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  <w:r>
        <w:rPr>
          <w:rFonts w:ascii="Times New Roman" w:hAnsi="Times New Roman" w:cs="Times New Roman"/>
          <w:sz w:val="28"/>
        </w:rPr>
      </w:r>
    </w:p>
    <w:p>
      <w:pPr>
        <w:pStyle w:val="865"/>
        <w:jc w:val="center"/>
        <w:spacing w:line="360" w:lineRule="auto"/>
        <w:rPr>
          <w:bCs/>
          <w:sz w:val="28"/>
        </w:rPr>
      </w:pPr>
      <w:r>
        <w:rPr>
          <w:bCs/>
          <w:sz w:val="28"/>
        </w:rPr>
        <w:t xml:space="preserve">« 25 » июня</w:t>
      </w:r>
      <w:r>
        <w:rPr>
          <w:bCs/>
          <w:sz w:val="28"/>
        </w:rPr>
        <w:t xml:space="preserve"> </w:t>
      </w:r>
      <w:r>
        <w:rPr>
          <w:bCs/>
          <w:sz w:val="28"/>
        </w:rPr>
        <w:t xml:space="preserve"> 2026</w:t>
      </w:r>
      <w:r>
        <w:rPr>
          <w:bCs/>
          <w:sz w:val="28"/>
        </w:rPr>
        <w:t xml:space="preserve"> г.</w:t>
        <w:tab/>
        <w:tab/>
        <w:t xml:space="preserve">                                   </w:t>
      </w:r>
      <w:r>
        <w:rPr>
          <w:bCs/>
          <w:sz w:val="28"/>
        </w:rPr>
        <w:t xml:space="preserve">                      </w:t>
        <w:tab/>
        <w:t xml:space="preserve">№ 6/7</w:t>
      </w:r>
      <w:r>
        <w:rPr>
          <w:bCs/>
          <w:sz w:val="28"/>
        </w:rPr>
        <w:t xml:space="preserve">-6</w:t>
      </w:r>
      <w:r>
        <w:rPr>
          <w:bCs/>
          <w:sz w:val="28"/>
        </w:rPr>
      </w:r>
      <w:r>
        <w:rPr>
          <w:bCs/>
          <w:sz w:val="28"/>
        </w:rPr>
      </w:r>
    </w:p>
    <w:p>
      <w:pPr>
        <w:pStyle w:val="869"/>
        <w:spacing w:line="360" w:lineRule="auto"/>
        <w:rPr>
          <w:color w:val="000000"/>
        </w:rPr>
      </w:pPr>
      <w:r>
        <w:rPr>
          <w:color w:val="000000"/>
        </w:rPr>
        <w:t xml:space="preserve">г. Тырныауз</w:t>
      </w:r>
      <w:r>
        <w:rPr>
          <w:color w:val="000000"/>
        </w:rPr>
        <w:t xml:space="preserve"> </w:t>
      </w:r>
      <w:r>
        <w:rPr>
          <w:color w:val="000000"/>
        </w:rPr>
      </w:r>
      <w:r>
        <w:rPr>
          <w:color w:val="000000"/>
        </w:rPr>
      </w:r>
    </w:p>
    <w:p>
      <w:pPr>
        <w:pStyle w:val="876"/>
      </w:pPr>
      <w:r/>
      <w:r/>
    </w:p>
    <w:p>
      <w:pPr>
        <w:pStyle w:val="894"/>
        <w:jc w:val="center"/>
        <w:rPr>
          <w:b/>
          <w:bCs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>
        <w:rPr>
          <w:b/>
          <w:sz w:val="28"/>
          <w:szCs w:val="28"/>
        </w:rPr>
        <w:t xml:space="preserve"> Регламенте использования территориального фрагмента Государственной автоматизированной системы Российской Федерации «Выборы» </w:t>
      </w:r>
      <w:r>
        <w:rPr>
          <w:b/>
          <w:bCs/>
          <w:sz w:val="28"/>
          <w:szCs w:val="28"/>
        </w:rPr>
        <w:t xml:space="preserve">Эльбрусского</w:t>
      </w:r>
      <w:r>
        <w:rPr>
          <w:b/>
          <w:bCs/>
          <w:sz w:val="28"/>
          <w:szCs w:val="28"/>
        </w:rPr>
        <w:t xml:space="preserve"> района</w:t>
      </w:r>
      <w:r>
        <w:rPr>
          <w:b/>
          <w:sz w:val="28"/>
          <w:szCs w:val="28"/>
        </w:rPr>
        <w:t xml:space="preserve"> в режиме подготовки и проведения выборов депутатов представительных органов местного самоуправления на территории </w:t>
      </w:r>
      <w:r>
        <w:rPr>
          <w:b/>
          <w:bCs/>
          <w:sz w:val="28"/>
          <w:szCs w:val="28"/>
        </w:rPr>
        <w:t xml:space="preserve">Эльбрусcкого</w:t>
      </w:r>
      <w:r>
        <w:rPr>
          <w:b/>
          <w:bCs/>
          <w:sz w:val="28"/>
          <w:szCs w:val="28"/>
        </w:rPr>
        <w:t xml:space="preserve"> муниципального района</w:t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94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sz w:val="28"/>
          <w:szCs w:val="28"/>
        </w:rPr>
        <w:t xml:space="preserve">20 сентября 2026 года</w:t>
      </w:r>
      <w:r>
        <w:rPr>
          <w:b/>
          <w:bCs/>
          <w:i/>
          <w:iCs/>
          <w:sz w:val="28"/>
          <w:szCs w:val="28"/>
        </w:rPr>
      </w:r>
      <w:r>
        <w:rPr>
          <w:b/>
          <w:bCs/>
          <w:i/>
          <w:iCs/>
          <w:sz w:val="28"/>
          <w:szCs w:val="28"/>
        </w:rPr>
      </w:r>
    </w:p>
    <w:p>
      <w:pPr>
        <w:pStyle w:val="876"/>
        <w:rPr>
          <w:szCs w:val="28"/>
        </w:rPr>
      </w:pPr>
      <w:r>
        <w:rPr>
          <w:szCs w:val="28"/>
        </w:rPr>
      </w:r>
      <w:r>
        <w:rPr>
          <w:szCs w:val="28"/>
        </w:rPr>
      </w:r>
      <w:r>
        <w:rPr>
          <w:szCs w:val="28"/>
        </w:rPr>
      </w:r>
    </w:p>
    <w:p>
      <w:pPr>
        <w:pStyle w:val="888"/>
        <w:jc w:val="center"/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5"/>
        <w:ind w:firstLine="708"/>
        <w:jc w:val="both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t xml:space="preserve">В </w:t>
      </w:r>
      <w:r>
        <w:rPr>
          <w:bCs/>
          <w:sz w:val="28"/>
          <w:szCs w:val="28"/>
        </w:rPr>
        <w:t xml:space="preserve">соответствии с Постановлением Центральной избирательной комиссии Российской Федерации № 179/1144-4 от 28 июня 2006 года «</w:t>
      </w:r>
      <w:r>
        <w:rPr>
          <w:sz w:val="28"/>
          <w:szCs w:val="28"/>
        </w:rPr>
        <w:t xml:space="preserve">О типовом плане подготовки и использования Государственной автоматизированной системы Российской Федерации «Выборы» при проведении выборов и референдумов в субъектах Российской Федерации в единый день голосования»</w:t>
      </w:r>
      <w:r>
        <w:rPr>
          <w:sz w:val="28"/>
          <w:szCs w:val="28"/>
        </w:rPr>
        <w:t xml:space="preserve">,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Эльбрусская территориальная избирательная комиссия </w:t>
      </w:r>
      <w:r>
        <w:rPr>
          <w:b/>
          <w:sz w:val="28"/>
          <w:szCs w:val="28"/>
        </w:rPr>
        <w:t xml:space="preserve">решила:</w:t>
      </w: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bCs/>
          <w:sz w:val="28"/>
          <w:szCs w:val="28"/>
          <w:lang w:val="en-US"/>
        </w:rPr>
      </w:pPr>
      <w:r>
        <w:rPr>
          <w:sz w:val="28"/>
          <w:szCs w:val="28"/>
        </w:rPr>
        <w:t xml:space="preserve">1. </w:t>
      </w:r>
      <w:r>
        <w:rPr>
          <w:bCs/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Регламент использования территориального фрагмента Государственной автоматизированной системы Российской Федерации «Выборы» </w:t>
      </w:r>
      <w:r>
        <w:rPr>
          <w:bCs/>
          <w:sz w:val="28"/>
          <w:szCs w:val="28"/>
        </w:rPr>
        <w:t xml:space="preserve">Эльбрусского</w:t>
      </w:r>
      <w:r>
        <w:rPr>
          <w:bCs/>
          <w:sz w:val="28"/>
          <w:szCs w:val="28"/>
        </w:rPr>
        <w:t xml:space="preserve"> муниципального района</w:t>
      </w:r>
      <w:r>
        <w:rPr>
          <w:sz w:val="28"/>
          <w:szCs w:val="28"/>
        </w:rPr>
        <w:t xml:space="preserve"> в режиме подготовки и проведения выборов депутатов представительных органов местного самоуправления на территории </w:t>
      </w:r>
      <w:r>
        <w:rPr>
          <w:bCs/>
          <w:sz w:val="28"/>
          <w:szCs w:val="28"/>
        </w:rPr>
        <w:t xml:space="preserve">Эльбрусского</w:t>
      </w:r>
      <w:r>
        <w:rPr>
          <w:bCs/>
          <w:sz w:val="28"/>
          <w:szCs w:val="28"/>
        </w:rPr>
        <w:t xml:space="preserve"> муниципального района 20 сентября 2026 года (прилагается).</w:t>
      </w:r>
      <w:r>
        <w:rPr>
          <w:bCs/>
          <w:sz w:val="28"/>
          <w:szCs w:val="28"/>
          <w:lang w:val="en-US"/>
        </w:rPr>
      </w:r>
      <w:r>
        <w:rPr>
          <w:bCs/>
          <w:sz w:val="28"/>
          <w:szCs w:val="28"/>
          <w:lang w:val="en-US"/>
        </w:rPr>
      </w:r>
    </w:p>
    <w:p>
      <w:pPr>
        <w:pStyle w:val="894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2. </w:t>
      </w:r>
      <w:r>
        <w:rPr>
          <w:sz w:val="28"/>
          <w:szCs w:val="28"/>
        </w:rPr>
        <w:t xml:space="preserve">Контроль за выполнением настоящего постановления возложить на председателя </w:t>
      </w:r>
      <w:r>
        <w:rPr>
          <w:bCs/>
          <w:sz w:val="28"/>
          <w:szCs w:val="28"/>
        </w:rPr>
        <w:t xml:space="preserve">Эльбрусской</w:t>
      </w:r>
      <w:r>
        <w:rPr>
          <w:bCs/>
          <w:sz w:val="28"/>
          <w:szCs w:val="28"/>
        </w:rPr>
        <w:t xml:space="preserve"> территориальной избирател</w:t>
      </w:r>
      <w:r>
        <w:rPr>
          <w:bCs/>
          <w:sz w:val="28"/>
          <w:szCs w:val="28"/>
        </w:rPr>
        <w:t xml:space="preserve">ь</w:t>
      </w:r>
      <w:r>
        <w:rPr>
          <w:bCs/>
          <w:sz w:val="28"/>
          <w:szCs w:val="28"/>
        </w:rPr>
        <w:t xml:space="preserve">ной комиссии </w:t>
      </w:r>
      <w:r>
        <w:rPr>
          <w:bCs/>
          <w:sz w:val="28"/>
          <w:szCs w:val="28"/>
        </w:rPr>
        <w:t xml:space="preserve">Джаппуева Д.М.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>
        <w:t xml:space="preserve"> </w:t>
      </w:r>
      <w:r>
        <w:rPr>
          <w:bCs/>
          <w:sz w:val="28"/>
          <w:szCs w:val="28"/>
        </w:rPr>
        <w:t xml:space="preserve">Разместить настоящее решение на официальных сайтах Избирательной комиссии Кабардино-Балкарской Республики и местной администрации Эльбрусского муниципального района в информационно-телекоммуникационной сети «Интернет», в разделе «Территориальная избирательная комиссия».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77"/>
        <w:ind w:firstLine="708"/>
        <w:jc w:val="both"/>
        <w:spacing w:line="360" w:lineRule="auto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7"/>
        <w:ind w:firstLine="708"/>
        <w:jc w:val="both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7"/>
        <w:ind w:firstLine="708"/>
        <w:jc w:val="both"/>
        <w:spacing w:line="360" w:lineRule="auto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7"/>
        <w:ind w:firstLine="708"/>
        <w:jc w:val="both"/>
        <w:spacing w:line="360" w:lineRule="auto"/>
        <w:rPr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</w:r>
      <w:r>
        <w:rPr>
          <w:bCs/>
          <w:sz w:val="28"/>
          <w:szCs w:val="28"/>
          <w:lang w:val="ru-RU"/>
        </w:rPr>
      </w:r>
      <w:r>
        <w:rPr>
          <w:sz w:val="28"/>
          <w:szCs w:val="28"/>
          <w:lang w:val="ru-RU"/>
        </w:rPr>
      </w:r>
    </w:p>
    <w:p>
      <w:pPr>
        <w:pStyle w:val="877"/>
        <w:jc w:val="both"/>
        <w:spacing w:line="360" w:lineRule="auto"/>
        <w:rPr>
          <w:b/>
          <w:bCs/>
          <w:sz w:val="28"/>
          <w:szCs w:val="28"/>
          <w:highlight w:val="none"/>
          <w:lang w:val="ru-RU"/>
        </w:rPr>
      </w:pPr>
      <w:r>
        <w:rPr>
          <w:b/>
          <w:bCs/>
          <w:sz w:val="28"/>
          <w:szCs w:val="28"/>
        </w:rPr>
        <w:t xml:space="preserve">П</w:t>
      </w:r>
      <w:r>
        <w:rPr>
          <w:b/>
          <w:bCs/>
          <w:sz w:val="28"/>
          <w:szCs w:val="28"/>
        </w:rPr>
        <w:t xml:space="preserve">редседатель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                                                                  </w:t>
      </w:r>
      <w:r>
        <w:rPr>
          <w:b/>
          <w:bCs/>
          <w:sz w:val="28"/>
          <w:szCs w:val="28"/>
        </w:rPr>
        <w:t xml:space="preserve">Д.М. Джаппуев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highlight w:val="none"/>
          <w:lang w:val="ru-RU"/>
        </w:rPr>
      </w:r>
    </w:p>
    <w:p>
      <w:pPr>
        <w:pStyle w:val="877"/>
        <w:jc w:val="both"/>
        <w:spacing w:line="360" w:lineRule="auto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highlight w:val="none"/>
          <w:lang w:val="ru-RU"/>
        </w:rPr>
      </w:r>
      <w:r>
        <w:rPr>
          <w:b/>
          <w:bCs/>
          <w:sz w:val="28"/>
          <w:szCs w:val="28"/>
          <w:highlight w:val="none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877"/>
        <w:jc w:val="both"/>
        <w:spacing w:line="360" w:lineRule="auto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</w:rPr>
        <w:t xml:space="preserve">Секретарь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ru-RU"/>
        </w:rPr>
        <w:t xml:space="preserve">                                                                        </w:t>
      </w:r>
      <w:r>
        <w:rPr>
          <w:b/>
          <w:bCs/>
          <w:sz w:val="28"/>
          <w:szCs w:val="28"/>
        </w:rPr>
        <w:t xml:space="preserve">С.М. Жабоев</w:t>
      </w:r>
      <w:r>
        <w:rPr>
          <w:b/>
          <w:bCs/>
          <w:sz w:val="28"/>
          <w:szCs w:val="28"/>
          <w:lang w:val="ru-RU"/>
        </w:rPr>
      </w:r>
      <w:r>
        <w:rPr>
          <w:b/>
          <w:bCs/>
          <w:sz w:val="28"/>
          <w:szCs w:val="28"/>
          <w:lang w:val="ru-RU"/>
        </w:rPr>
      </w:r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p>
      <w:pPr>
        <w:pStyle w:val="885"/>
        <w:ind w:firstLine="708"/>
      </w:pPr>
      <w:r/>
      <w:r/>
    </w:p>
    <w:tbl>
      <w:tblPr>
        <w:tblW w:w="9923" w:type="dxa"/>
        <w:tblInd w:w="-176" w:type="dxa"/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4815"/>
        <w:gridCol w:w="5108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15" w:type="dxa"/>
            <w:vAlign w:val="top"/>
            <w:textDirection w:val="lrTb"/>
            <w:noWrap w:val="false"/>
          </w:tcPr>
          <w:p>
            <w:pPr>
              <w:pStyle w:val="865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</w:r>
            <w:r>
              <w:rPr>
                <w:sz w:val="28"/>
                <w:szCs w:val="26"/>
              </w:rPr>
            </w:r>
            <w:r>
              <w:rPr>
                <w:sz w:val="28"/>
                <w:szCs w:val="26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108" w:type="dxa"/>
            <w:vAlign w:val="top"/>
            <w:textDirection w:val="lrTb"/>
            <w:noWrap w:val="false"/>
          </w:tcPr>
          <w:p>
            <w:pPr>
              <w:pStyle w:val="865"/>
              <w:jc w:val="right"/>
            </w:pPr>
            <w:r>
              <w:t xml:space="preserve">Приложение 1</w:t>
            </w:r>
            <w:r/>
          </w:p>
          <w:p>
            <w:pPr>
              <w:pStyle w:val="865"/>
              <w:jc w:val="right"/>
            </w:pPr>
            <w:r>
              <w:t xml:space="preserve">к </w:t>
            </w:r>
            <w:r>
              <w:t xml:space="preserve">решению </w:t>
            </w:r>
            <w:r/>
          </w:p>
          <w:p>
            <w:pPr>
              <w:pStyle w:val="865"/>
              <w:jc w:val="right"/>
            </w:pPr>
            <w:r>
              <w:t xml:space="preserve">Эльбрусской</w:t>
            </w:r>
            <w:r>
              <w:t xml:space="preserve"> территориальной      избирательной комиссии </w:t>
            </w:r>
            <w:r/>
          </w:p>
          <w:p>
            <w:pPr>
              <w:pStyle w:val="865"/>
              <w:jc w:val="center"/>
            </w:pPr>
            <w:r>
              <w:t xml:space="preserve">                                   </w:t>
            </w:r>
            <w:r>
              <w:t xml:space="preserve">№</w:t>
            </w:r>
            <w:r>
              <w:t xml:space="preserve"> 6/7</w:t>
            </w:r>
            <w:r>
              <w:t xml:space="preserve">-6 от 25</w:t>
            </w:r>
            <w:r>
              <w:t xml:space="preserve">.0</w:t>
            </w:r>
            <w:r>
              <w:t xml:space="preserve">6</w:t>
            </w:r>
            <w:r>
              <w:t xml:space="preserve">.202</w:t>
            </w:r>
            <w:r>
              <w:t xml:space="preserve">6</w:t>
            </w:r>
            <w:r>
              <w:t xml:space="preserve"> года </w:t>
            </w:r>
            <w:r/>
          </w:p>
          <w:p>
            <w:pPr>
              <w:pStyle w:val="865"/>
              <w:jc w:val="right"/>
            </w:pPr>
            <w:r/>
            <w:r/>
          </w:p>
        </w:tc>
      </w:tr>
    </w:tbl>
    <w:p>
      <w:pPr>
        <w:pStyle w:val="865"/>
        <w:rPr>
          <w:sz w:val="28"/>
          <w:szCs w:val="26"/>
        </w:rPr>
      </w:pPr>
      <w:r>
        <w:rPr>
          <w:sz w:val="28"/>
          <w:szCs w:val="26"/>
        </w:rPr>
      </w:r>
      <w:r>
        <w:rPr>
          <w:sz w:val="28"/>
          <w:szCs w:val="26"/>
        </w:rPr>
      </w:r>
      <w:r>
        <w:rPr>
          <w:sz w:val="28"/>
          <w:szCs w:val="26"/>
        </w:rPr>
      </w:r>
    </w:p>
    <w:p>
      <w:pPr>
        <w:pStyle w:val="8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использования территориального фрагмента Государственной автоматизированной системы Российской Федерации «Выборы» </w:t>
      </w:r>
      <w:r>
        <w:rPr>
          <w:b/>
          <w:bCs/>
          <w:sz w:val="28"/>
          <w:szCs w:val="28"/>
        </w:rPr>
        <w:t xml:space="preserve">Эльбрусского</w:t>
      </w:r>
      <w:r>
        <w:rPr>
          <w:b/>
          <w:bCs/>
          <w:sz w:val="28"/>
          <w:szCs w:val="28"/>
        </w:rPr>
        <w:t xml:space="preserve"> муниципального района</w:t>
      </w:r>
      <w:r>
        <w:rPr>
          <w:b/>
          <w:sz w:val="28"/>
          <w:szCs w:val="28"/>
        </w:rPr>
        <w:t xml:space="preserve"> в режиме подготовки и проведения выборов депутатов представительных органов местного самоуправления на территории </w:t>
      </w:r>
      <w:r>
        <w:rPr>
          <w:b/>
          <w:bCs/>
          <w:sz w:val="28"/>
          <w:szCs w:val="28"/>
        </w:rPr>
        <w:t xml:space="preserve">Эльбрусского</w:t>
      </w:r>
      <w:r>
        <w:rPr>
          <w:b/>
          <w:bCs/>
          <w:sz w:val="28"/>
          <w:szCs w:val="28"/>
        </w:rPr>
        <w:t xml:space="preserve"> муниципального района 20 сентября 2026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4"/>
        <w:jc w:val="center"/>
        <w:spacing w:line="360" w:lineRule="auto"/>
        <w:rPr>
          <w:b/>
          <w:sz w:val="28"/>
          <w:szCs w:val="28"/>
        </w:rPr>
      </w:pPr>
      <w:r>
        <w:rPr>
          <w:sz w:val="28"/>
          <w:szCs w:val="28"/>
        </w:rPr>
        <w:br w:type="textWrapping" w:clear="all"/>
      </w:r>
      <w:r>
        <w:rPr>
          <w:b/>
          <w:sz w:val="28"/>
          <w:szCs w:val="28"/>
        </w:rPr>
        <w:t xml:space="preserve">1. Общие положения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/>
      <w:bookmarkStart w:id="0" w:name="sub_1301"/>
      <w:r>
        <w:rPr>
          <w:sz w:val="28"/>
          <w:szCs w:val="28"/>
        </w:rPr>
        <w:t xml:space="preserve">1. Под использованием ГАС «Выборы» в настоящем Регламенте поним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ется применение КСА ГАС «Выборы» </w:t>
      </w:r>
      <w:r>
        <w:rPr>
          <w:sz w:val="28"/>
          <w:szCs w:val="28"/>
        </w:rPr>
        <w:t xml:space="preserve">Эльбрусской</w:t>
      </w:r>
      <w:r>
        <w:rPr>
          <w:sz w:val="28"/>
          <w:szCs w:val="28"/>
        </w:rPr>
        <w:t xml:space="preserve"> ТИК при подготовке и проведении выборов депутатов представительных органов местного самоуправления на территории </w:t>
      </w:r>
      <w:r>
        <w:rPr>
          <w:bCs/>
          <w:sz w:val="28"/>
          <w:szCs w:val="28"/>
        </w:rPr>
        <w:t xml:space="preserve">Эльбрусского</w:t>
      </w:r>
      <w:r>
        <w:rPr>
          <w:bCs/>
          <w:sz w:val="28"/>
          <w:szCs w:val="28"/>
        </w:rPr>
        <w:t xml:space="preserve"> муниципального района 20 сентября 2026 года</w:t>
      </w:r>
      <w:r>
        <w:rPr>
          <w:sz w:val="28"/>
          <w:szCs w:val="28"/>
        </w:rPr>
        <w:t xml:space="preserve">, в том числе при проведении регистрации (учета) избирателей, составлении списков </w:t>
      </w:r>
      <w:r>
        <w:rPr>
          <w:color w:val="000000"/>
          <w:sz w:val="28"/>
          <w:szCs w:val="28"/>
        </w:rPr>
        <w:t xml:space="preserve">избират</w:t>
      </w:r>
      <w:r>
        <w:rPr>
          <w:color w:val="000000"/>
          <w:sz w:val="28"/>
          <w:szCs w:val="28"/>
        </w:rPr>
        <w:t xml:space="preserve">е</w:t>
      </w:r>
      <w:r>
        <w:rPr>
          <w:color w:val="000000"/>
          <w:sz w:val="28"/>
          <w:szCs w:val="28"/>
        </w:rPr>
        <w:t xml:space="preserve">лей, подсчете голосов избирателей, установлении итогов голосования и опреде</w:t>
      </w:r>
      <w:r>
        <w:rPr>
          <w:sz w:val="28"/>
          <w:szCs w:val="28"/>
        </w:rPr>
        <w:t xml:space="preserve">лении результатов выб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ров для оперативного получения, передачи и обработки информации. ГАС «Выборы» используется также для осуществления контроля за формированием и использованием средств избирательных фондов кандидатов, подготовки и предста</w:t>
      </w:r>
      <w:r>
        <w:rPr>
          <w:sz w:val="28"/>
          <w:szCs w:val="28"/>
        </w:rPr>
        <w:t xml:space="preserve">в</w:t>
      </w:r>
      <w:r>
        <w:rPr>
          <w:sz w:val="28"/>
          <w:szCs w:val="28"/>
        </w:rPr>
        <w:t xml:space="preserve">ления данных об участии избирателей в выборах, о предварительных итогах гол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сования, о результатах выборов.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/>
      <w:bookmarkEnd w:id="0"/>
      <w:r/>
      <w:bookmarkStart w:id="1" w:name="sub_1302"/>
      <w:r>
        <w:rPr>
          <w:sz w:val="28"/>
          <w:szCs w:val="28"/>
        </w:rPr>
        <w:t xml:space="preserve">2. Использование ГАС «Выборы» в </w:t>
      </w:r>
      <w:r>
        <w:rPr>
          <w:sz w:val="28"/>
          <w:szCs w:val="28"/>
        </w:rPr>
        <w:t xml:space="preserve">Эльбрусской</w:t>
      </w:r>
      <w:r>
        <w:rPr>
          <w:sz w:val="28"/>
          <w:szCs w:val="28"/>
        </w:rPr>
        <w:t xml:space="preserve"> ТИК, осуществляется в режиме подготовки и проведения выборов депутатов представительных органов местного самоуправления на территории </w:t>
      </w:r>
      <w:r>
        <w:rPr>
          <w:bCs/>
          <w:sz w:val="28"/>
          <w:szCs w:val="28"/>
        </w:rPr>
        <w:t xml:space="preserve">Эльбрусского</w:t>
      </w:r>
      <w:r>
        <w:rPr>
          <w:bCs/>
          <w:sz w:val="28"/>
          <w:szCs w:val="28"/>
        </w:rPr>
        <w:t xml:space="preserve"> муниципального района 20 сентября 2026 года</w:t>
      </w:r>
      <w:r>
        <w:rPr>
          <w:sz w:val="28"/>
          <w:szCs w:val="28"/>
        </w:rPr>
        <w:t xml:space="preserve"> в соответствии с эксплуатационной документацией на ГАС «Выб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ры».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jc w:val="both"/>
        <w:spacing w:line="360" w:lineRule="auto"/>
        <w:rPr>
          <w:sz w:val="28"/>
          <w:szCs w:val="28"/>
        </w:rPr>
      </w:pPr>
      <w:r/>
      <w:bookmarkEnd w:id="1"/>
      <w:r/>
      <w:bookmarkStart w:id="2" w:name="sub_1303"/>
      <w:r>
        <w:rPr>
          <w:sz w:val="28"/>
          <w:szCs w:val="28"/>
        </w:rPr>
        <w:t xml:space="preserve"> </w:t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3. Техническое обслуживание КСА и подсистемы связи и передачи данных ГАС «Выборы» обеспечивается ООО «Системная интеграция и Сервис», осуществляющим се</w:t>
      </w:r>
      <w:r>
        <w:rPr>
          <w:sz w:val="28"/>
          <w:szCs w:val="28"/>
        </w:rPr>
        <w:t xml:space="preserve">р</w:t>
      </w:r>
      <w:r>
        <w:rPr>
          <w:sz w:val="28"/>
          <w:szCs w:val="28"/>
        </w:rPr>
        <w:t xml:space="preserve">висное обслуживание ГАС «Выборы» на территории Кабардино-Балкарской Республики.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/>
      <w:bookmarkEnd w:id="2"/>
      <w:r/>
      <w:bookmarkStart w:id="3" w:name="sub_1304"/>
      <w:r>
        <w:rPr>
          <w:sz w:val="28"/>
          <w:szCs w:val="28"/>
        </w:rPr>
        <w:t xml:space="preserve">4. Обмен информацией между КСА ГАС «Выборы» осуществляется с использованием штатных средств подсистемы связи и передачи данных ГАС «В</w:t>
      </w:r>
      <w:r>
        <w:rPr>
          <w:sz w:val="28"/>
          <w:szCs w:val="28"/>
        </w:rPr>
        <w:t xml:space="preserve">ы</w:t>
      </w:r>
      <w:r>
        <w:rPr>
          <w:sz w:val="28"/>
          <w:szCs w:val="28"/>
        </w:rPr>
        <w:t xml:space="preserve">боры».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/>
      <w:bookmarkEnd w:id="3"/>
      <w:r/>
      <w:bookmarkStart w:id="4" w:name="sub_1305"/>
      <w:r>
        <w:rPr>
          <w:sz w:val="28"/>
          <w:szCs w:val="28"/>
        </w:rPr>
        <w:t xml:space="preserve">5. В режиме подготовки и проведения выборов депутатов представительных органов местного самоуправления на территории </w:t>
      </w:r>
      <w:r>
        <w:rPr>
          <w:bCs/>
          <w:sz w:val="28"/>
          <w:szCs w:val="28"/>
        </w:rPr>
        <w:t xml:space="preserve">Эльбрусского</w:t>
      </w:r>
      <w:r>
        <w:rPr>
          <w:bCs/>
          <w:sz w:val="28"/>
          <w:szCs w:val="28"/>
        </w:rPr>
        <w:t xml:space="preserve"> муниципального района 20 сентября 2026 года</w:t>
      </w:r>
      <w:r>
        <w:rPr>
          <w:sz w:val="28"/>
          <w:szCs w:val="28"/>
        </w:rPr>
        <w:t xml:space="preserve"> территориальный фрагмент ГАС «Выборы» выполняет следующие фун</w:t>
      </w:r>
      <w:r>
        <w:rPr>
          <w:sz w:val="28"/>
          <w:szCs w:val="28"/>
        </w:rPr>
        <w:t xml:space="preserve">к</w:t>
      </w:r>
      <w:r>
        <w:rPr>
          <w:sz w:val="28"/>
          <w:szCs w:val="28"/>
        </w:rPr>
        <w:t xml:space="preserve">ции: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/>
      <w:bookmarkEnd w:id="4"/>
      <w:r>
        <w:rPr>
          <w:sz w:val="28"/>
          <w:szCs w:val="28"/>
        </w:rPr>
        <w:t xml:space="preserve">ввод, коррекция и анализ сведений об избирателях при составлении списков избирателей, а также обработка запросов при проверке подписных листов (по</w:t>
      </w:r>
      <w:r>
        <w:rPr>
          <w:sz w:val="28"/>
          <w:szCs w:val="28"/>
        </w:rPr>
        <w:t xml:space="preserve">д</w:t>
      </w:r>
      <w:r>
        <w:rPr>
          <w:sz w:val="28"/>
          <w:szCs w:val="28"/>
        </w:rPr>
        <w:t xml:space="preserve">система «Регистр избирателей, участников референдума»);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ввод, сбор и обработка сведений об избирательной кампании, включая ее наименование, даты начала и окончания, и другой информации, характеризу</w:t>
      </w:r>
      <w:r>
        <w:rPr>
          <w:sz w:val="28"/>
          <w:szCs w:val="28"/>
        </w:rPr>
        <w:t xml:space="preserve">ю</w:t>
      </w:r>
      <w:r>
        <w:rPr>
          <w:sz w:val="28"/>
          <w:szCs w:val="28"/>
        </w:rPr>
        <w:t xml:space="preserve">щей избирательную кампанию (задача «Избирательные кампании»);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ввод и обработка сведений о кандидатах, участвующих в выборах и предо</w:t>
      </w:r>
      <w:r>
        <w:rPr>
          <w:sz w:val="28"/>
          <w:szCs w:val="28"/>
        </w:rPr>
        <w:t xml:space="preserve">с</w:t>
      </w:r>
      <w:r>
        <w:rPr>
          <w:sz w:val="28"/>
          <w:szCs w:val="28"/>
        </w:rPr>
        <w:t xml:space="preserve">тавляющих сведения в соответствии с Законом Кабардино-Балкарской Республ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ки «О выборах депутатов представительных органов местного самоуправления» (задача «Учет кандидатов и избирательных объедин</w:t>
      </w:r>
      <w:r>
        <w:rPr>
          <w:sz w:val="28"/>
          <w:szCs w:val="28"/>
        </w:rPr>
        <w:t xml:space="preserve">е</w:t>
      </w:r>
      <w:r>
        <w:rPr>
          <w:sz w:val="28"/>
          <w:szCs w:val="28"/>
        </w:rPr>
        <w:t xml:space="preserve">ний»);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ввод и обработка сведений о доверенных лицах и уполномоченных предст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вителях кандидатов (в том числе по финансовым вопросам) (задача «Уполномоченные представ</w:t>
      </w:r>
      <w:r>
        <w:rPr>
          <w:sz w:val="28"/>
          <w:szCs w:val="28"/>
        </w:rPr>
        <w:t xml:space="preserve">и</w:t>
      </w:r>
      <w:r>
        <w:rPr>
          <w:sz w:val="28"/>
          <w:szCs w:val="28"/>
        </w:rPr>
        <w:t xml:space="preserve">тели, доверенные лица»);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ввод, сбор и обработка сведений о движении избирательных бюллетеней и открепительных удостоверений (задача «Документы строгой отчетн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сти»);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ввод, сбор и обработка сведений об открытии участков для голосов</w:t>
      </w:r>
      <w:r>
        <w:rPr>
          <w:sz w:val="28"/>
          <w:szCs w:val="28"/>
        </w:rPr>
        <w:t xml:space="preserve">а</w:t>
      </w:r>
      <w:r>
        <w:rPr>
          <w:sz w:val="28"/>
          <w:szCs w:val="28"/>
        </w:rPr>
        <w:t xml:space="preserve">ния, об участии избирателей в выборах (количестве проголосовавших) и об итогах гол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сования, результатах выборов (задачи «Итоги», «Учет кандидатов и избирател</w:t>
      </w:r>
      <w:r>
        <w:rPr>
          <w:sz w:val="28"/>
          <w:szCs w:val="28"/>
        </w:rPr>
        <w:t xml:space="preserve">ь</w:t>
      </w:r>
      <w:r>
        <w:rPr>
          <w:sz w:val="28"/>
          <w:szCs w:val="28"/>
        </w:rPr>
        <w:t xml:space="preserve">ных объединений», «Избирательные кампании»);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ввод и обработка сведений о формировании и составах избирательных к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миссий всех уровней (задача «Кадры»);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ввод и обработка сведен</w:t>
      </w:r>
      <w:r>
        <w:rPr>
          <w:sz w:val="28"/>
          <w:szCs w:val="28"/>
        </w:rPr>
        <w:t xml:space="preserve">ий с целью обеспечения учета и контроля за правильностью поступления, расходования и возврата средств избирательных фондов кандидатов, контроля за источниками пожертвований, ввод и обработка финансовых отчетов кандидатов, (задача «Контроль избирательных фо</w:t>
      </w:r>
      <w:r>
        <w:rPr>
          <w:sz w:val="28"/>
          <w:szCs w:val="28"/>
        </w:rPr>
        <w:t xml:space="preserve">н</w:t>
      </w:r>
      <w:r>
        <w:rPr>
          <w:sz w:val="28"/>
          <w:szCs w:val="28"/>
        </w:rPr>
        <w:t xml:space="preserve">дов»).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ind w:firstLine="708"/>
        <w:jc w:val="both"/>
        <w:spacing w:line="360" w:lineRule="auto"/>
        <w:rPr>
          <w:sz w:val="28"/>
          <w:szCs w:val="28"/>
        </w:rPr>
      </w:pPr>
      <w:r/>
      <w:bookmarkStart w:id="5" w:name="sub_1306"/>
      <w:r>
        <w:rPr>
          <w:sz w:val="28"/>
          <w:szCs w:val="28"/>
        </w:rPr>
        <w:t xml:space="preserve">6. Обмен информацией между Избирательной  комиссией КБР и </w:t>
      </w:r>
      <w:r>
        <w:rPr>
          <w:sz w:val="28"/>
          <w:szCs w:val="28"/>
        </w:rPr>
        <w:t xml:space="preserve">Эльбрусской</w:t>
      </w:r>
      <w:r>
        <w:rPr>
          <w:sz w:val="28"/>
          <w:szCs w:val="28"/>
        </w:rPr>
        <w:t xml:space="preserve"> ТИК производится </w:t>
      </w:r>
      <w:bookmarkEnd w:id="5"/>
      <w:r>
        <w:rPr>
          <w:sz w:val="28"/>
          <w:szCs w:val="28"/>
        </w:rPr>
        <w:t xml:space="preserve">в соответствии с Регламентом обмена информацией в режиме подг</w:t>
      </w:r>
      <w:r>
        <w:rPr>
          <w:sz w:val="28"/>
          <w:szCs w:val="28"/>
        </w:rPr>
        <w:t xml:space="preserve">о</w:t>
      </w:r>
      <w:r>
        <w:rPr>
          <w:sz w:val="28"/>
          <w:szCs w:val="28"/>
        </w:rPr>
        <w:t xml:space="preserve">товки и проведения выборов депутатов представительных органов местного самоуправления на территории </w:t>
      </w:r>
      <w:r>
        <w:rPr>
          <w:bCs/>
          <w:sz w:val="28"/>
          <w:szCs w:val="28"/>
        </w:rPr>
        <w:t xml:space="preserve">Эльбрусского</w:t>
      </w:r>
      <w:r>
        <w:rPr>
          <w:bCs/>
          <w:sz w:val="28"/>
          <w:szCs w:val="28"/>
        </w:rPr>
        <w:t xml:space="preserve"> муниципального района 20 сентября 2026 года</w:t>
      </w:r>
      <w:r>
        <w:rPr>
          <w:sz w:val="28"/>
          <w:szCs w:val="28"/>
        </w:rPr>
        <w:t xml:space="preserve"> (</w:t>
      </w:r>
      <w:r>
        <w:rPr>
          <w:sz w:val="28"/>
          <w:szCs w:val="28"/>
        </w:rPr>
        <w:fldChar w:fldCharType="begin"/>
      </w:r>
      <w:r>
        <w:rPr>
          <w:sz w:val="28"/>
          <w:szCs w:val="28"/>
        </w:rPr>
        <w:instrText xml:space="preserve">HYPERLINK \l "sub_11000"</w:instrText>
      </w:r>
      <w:r>
        <w:rPr>
          <w:sz w:val="28"/>
          <w:szCs w:val="28"/>
        </w:rPr>
        <w:fldChar w:fldCharType="separate"/>
      </w:r>
      <w:r>
        <w:rPr>
          <w:sz w:val="28"/>
          <w:szCs w:val="28"/>
        </w:rPr>
        <w:t xml:space="preserve">пр</w:t>
      </w:r>
      <w:bookmarkStart w:id="6" w:name="_Hlt179092452"/>
      <w:r/>
      <w:bookmarkStart w:id="7" w:name="_Hlt179092453"/>
      <w:r>
        <w:rPr>
          <w:sz w:val="28"/>
          <w:szCs w:val="28"/>
        </w:rPr>
        <w:t xml:space="preserve">и</w:t>
      </w:r>
      <w:bookmarkEnd w:id="6"/>
      <w:r/>
      <w:bookmarkEnd w:id="7"/>
      <w:r>
        <w:rPr>
          <w:sz w:val="28"/>
          <w:szCs w:val="28"/>
        </w:rPr>
        <w:t xml:space="preserve">лагается</w:t>
      </w:r>
      <w:r>
        <w:rPr>
          <w:sz w:val="28"/>
          <w:szCs w:val="28"/>
        </w:rPr>
        <w:fldChar w:fldCharType="end"/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94"/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866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65"/>
        <w:ind w:left="4248" w:firstLine="708"/>
        <w:rPr>
          <w:sz w:val="28"/>
          <w:szCs w:val="26"/>
        </w:rPr>
      </w:pPr>
      <w:r>
        <w:rPr>
          <w:sz w:val="28"/>
          <w:szCs w:val="26"/>
        </w:rPr>
      </w:r>
      <w:r>
        <w:rPr>
          <w:sz w:val="28"/>
          <w:szCs w:val="26"/>
        </w:rPr>
      </w:r>
      <w:r>
        <w:rPr>
          <w:sz w:val="28"/>
          <w:szCs w:val="26"/>
        </w:rPr>
      </w:r>
    </w:p>
    <w:p>
      <w:pPr>
        <w:pStyle w:val="865"/>
        <w:rPr>
          <w:sz w:val="28"/>
          <w:szCs w:val="26"/>
        </w:rPr>
      </w:pPr>
      <w:r>
        <w:rPr>
          <w:sz w:val="28"/>
          <w:szCs w:val="26"/>
        </w:rPr>
        <w:tab/>
        <w:tab/>
        <w:tab/>
        <w:tab/>
      </w:r>
      <w:r>
        <w:rPr>
          <w:sz w:val="28"/>
          <w:szCs w:val="26"/>
        </w:rPr>
      </w:r>
      <w:r>
        <w:rPr>
          <w:sz w:val="28"/>
          <w:szCs w:val="26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1" w:bottom="1134" w:left="1701" w:header="709" w:footer="709" w:gutter="0"/>
          <w:cols w:num="1" w:sep="0" w:space="708" w:equalWidth="1"/>
          <w:docGrid w:linePitch="360"/>
        </w:sect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70"/>
        <w:ind w:left="7655"/>
        <w:jc w:val="center"/>
        <w:rPr>
          <w:color w:val="000000"/>
          <w:sz w:val="24"/>
          <w:szCs w:val="24"/>
        </w:rPr>
      </w:pPr>
      <w:r>
        <w:rPr>
          <w:rStyle w:val="901"/>
          <w:b w:val="0"/>
          <w:color w:val="000000"/>
          <w:sz w:val="24"/>
          <w:szCs w:val="24"/>
        </w:rPr>
        <w:t xml:space="preserve">Приложение</w:t>
      </w:r>
      <w:r>
        <w:rPr>
          <w:color w:val="000000"/>
          <w:sz w:val="24"/>
          <w:szCs w:val="24"/>
        </w:rPr>
      </w:r>
      <w:r>
        <w:rPr>
          <w:color w:val="000000"/>
          <w:sz w:val="24"/>
          <w:szCs w:val="24"/>
        </w:rPr>
      </w:r>
    </w:p>
    <w:p>
      <w:pPr>
        <w:pStyle w:val="895"/>
        <w:ind w:left="7655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к </w:t>
      </w:r>
      <w:r>
        <w:rPr>
          <w:b/>
          <w:sz w:val="24"/>
          <w:szCs w:val="24"/>
        </w:rPr>
        <w:fldChar w:fldCharType="begin"/>
      </w:r>
      <w:r>
        <w:rPr>
          <w:b/>
          <w:sz w:val="24"/>
          <w:szCs w:val="24"/>
        </w:rPr>
        <w:instrText xml:space="preserve">HYPERLINK \l "sub_1000"</w:instrText>
      </w:r>
      <w:r>
        <w:rPr>
          <w:b/>
          <w:sz w:val="24"/>
          <w:szCs w:val="24"/>
        </w:rPr>
        <w:fldChar w:fldCharType="separate"/>
      </w:r>
      <w:r>
        <w:rPr>
          <w:b/>
          <w:sz w:val="24"/>
          <w:szCs w:val="24"/>
        </w:rPr>
        <w:t xml:space="preserve">Регламе</w:t>
      </w:r>
      <w:r>
        <w:rPr>
          <w:b/>
          <w:sz w:val="24"/>
          <w:szCs w:val="24"/>
        </w:rPr>
        <w:t xml:space="preserve">н</w:t>
      </w:r>
      <w:r>
        <w:rPr>
          <w:b/>
          <w:sz w:val="24"/>
          <w:szCs w:val="24"/>
        </w:rPr>
        <w:t xml:space="preserve">ту</w:t>
      </w:r>
      <w:r>
        <w:rPr>
          <w:b/>
          <w:sz w:val="24"/>
          <w:szCs w:val="24"/>
        </w:rPr>
        <w:fldChar w:fldCharType="end"/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использования</w:t>
      </w:r>
      <w:r>
        <w:rPr>
          <w:b/>
          <w:sz w:val="24"/>
          <w:szCs w:val="24"/>
        </w:rPr>
        <w:t xml:space="preserve"> территориального фрагмента Государственной</w:t>
      </w: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автоматизированной системы Российской Федерации «Выборы»</w:t>
      </w:r>
      <w:r>
        <w:rPr>
          <w:b/>
          <w:bCs/>
          <w:sz w:val="24"/>
          <w:szCs w:val="24"/>
        </w:rPr>
        <w:t xml:space="preserve"> Эльбрусского</w:t>
      </w:r>
      <w:r>
        <w:rPr>
          <w:b/>
          <w:bCs/>
          <w:sz w:val="24"/>
          <w:szCs w:val="24"/>
        </w:rPr>
        <w:t xml:space="preserve"> муниципал</w:t>
      </w:r>
      <w:r>
        <w:rPr>
          <w:b/>
          <w:bCs/>
          <w:sz w:val="24"/>
          <w:szCs w:val="24"/>
        </w:rPr>
        <w:t xml:space="preserve">ьного района</w:t>
      </w:r>
      <w:r>
        <w:rPr>
          <w:b/>
          <w:sz w:val="24"/>
          <w:szCs w:val="24"/>
        </w:rPr>
        <w:t xml:space="preserve"> в режиме подготовки и проведения выборов депутатов представительных органов местного самоуправления на территории </w:t>
      </w:r>
      <w:r>
        <w:rPr>
          <w:b/>
          <w:bCs/>
          <w:sz w:val="24"/>
          <w:szCs w:val="24"/>
        </w:rPr>
        <w:t xml:space="preserve">Эльбрусского</w:t>
      </w:r>
      <w:r>
        <w:rPr>
          <w:b/>
          <w:bCs/>
          <w:sz w:val="24"/>
          <w:szCs w:val="24"/>
        </w:rPr>
        <w:t xml:space="preserve"> муниципального района 20 сентября 2026 года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865"/>
      </w:pPr>
      <w:r/>
      <w:r/>
    </w:p>
    <w:p>
      <w:pPr>
        <w:pStyle w:val="89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Регламент</w:t>
        <w:br w:type="textWrapping" w:clear="all"/>
        <w:t xml:space="preserve">обмена информацией в режиме подг</w:t>
      </w:r>
      <w:r>
        <w:rPr>
          <w:b/>
          <w:sz w:val="28"/>
          <w:szCs w:val="28"/>
        </w:rPr>
        <w:t xml:space="preserve">о</w:t>
      </w:r>
      <w:r>
        <w:rPr>
          <w:b/>
          <w:sz w:val="28"/>
          <w:szCs w:val="28"/>
        </w:rPr>
        <w:t xml:space="preserve">товки и проведения выборов депутатов представительных органов местного самоуправления на территории </w:t>
      </w:r>
      <w:r>
        <w:rPr>
          <w:b/>
          <w:bCs/>
          <w:sz w:val="28"/>
          <w:szCs w:val="28"/>
        </w:rPr>
        <w:t xml:space="preserve">Эльбрусского</w:t>
      </w:r>
      <w:r>
        <w:rPr>
          <w:b/>
          <w:bCs/>
          <w:sz w:val="28"/>
          <w:szCs w:val="28"/>
        </w:rPr>
        <w:t xml:space="preserve"> муниципального района 20 сентября 2026 года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866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tbl>
      <w:tblPr>
        <w:tblW w:w="14459" w:type="dxa"/>
        <w:jc w:val="center"/>
        <w:tblInd w:w="67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709"/>
        <w:gridCol w:w="4678"/>
        <w:gridCol w:w="2739"/>
        <w:gridCol w:w="2789"/>
        <w:gridCol w:w="354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898"/>
          <w:tblHeader/>
        </w:trPr>
        <w:tc>
          <w:tcPr>
            <w:tcBorders>
              <w:bottom w:val="single" w:color="000000" w:sz="4" w:space="0"/>
            </w:tcBorders>
            <w:tcW w:w="709" w:type="dxa"/>
            <w:vAlign w:val="center"/>
            <w:textDirection w:val="lrTb"/>
            <w:noWrap w:val="false"/>
          </w:tcPr>
          <w:p>
            <w:pPr>
              <w:pStyle w:val="90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№№ п/п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8" w:type="dxa"/>
            <w:vAlign w:val="center"/>
            <w:textDirection w:val="lrTb"/>
            <w:noWrap w:val="false"/>
          </w:tcPr>
          <w:p>
            <w:pPr>
              <w:pStyle w:val="90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Наименования технологической операции и задачи, обеспечивающей ее выполнение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39" w:type="dxa"/>
            <w:vAlign w:val="center"/>
            <w:textDirection w:val="lrTb"/>
            <w:noWrap w:val="false"/>
          </w:tcPr>
          <w:p>
            <w:pPr>
              <w:pStyle w:val="90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Действия в избирательной комиссии Кабардино-Балкарской Республики (ИК КБР)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89" w:type="dxa"/>
            <w:vAlign w:val="center"/>
            <w:textDirection w:val="lrTb"/>
            <w:noWrap w:val="false"/>
          </w:tcPr>
          <w:p>
            <w:pPr>
              <w:pStyle w:val="90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Действия в территориальной избирательной комиссии (ТИК)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544" w:type="dxa"/>
            <w:vAlign w:val="center"/>
            <w:textDirection w:val="lrTb"/>
            <w:noWrap w:val="false"/>
          </w:tcPr>
          <w:p>
            <w:pPr>
              <w:pStyle w:val="902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</w:rPr>
              <w:t xml:space="preserve">Сроки выполнения технологической операции</w:t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  <w:r>
              <w:rPr>
                <w:rFonts w:ascii="Times New Roman" w:hAnsi="Times New Roman" w:cs="Times New Roman"/>
                <w:b/>
                <w:bCs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146" w:hRule="exact"/>
        </w:trPr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Пересылка актуализированного справочника политических партий в части их региональных отделений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(«Справочники»)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в ТИК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от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позднее чем через день с момента актуализации данных в справочниках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146" w:hRule="exact"/>
        </w:trPr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сформированных фрагментов классификаторов (с окружными и участковыми избирательными комиссиями)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от ТИК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Формирование, передача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недели после отправки в ТИК формализованных показателей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361" w:hRule="exact"/>
        </w:trPr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и передача в вышестоящие избирательные комиссии уточненных (дополненных) фрагментов классификатора избирательных комиссий («Избирательные кампании»)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от ТИК.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мере формирования УИК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890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и передача информации о кандидатах («Учет кандидатов и избирательных объединений»)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Получение от ТИК, обработка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в ТИК, передача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течении одного дня после выдвижения, регистрации или отмены регистрации кандидатов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696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сведений о членах избирательных комиссий с правом совещательного голоса, назначенных кандидатами («Кадры»)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Получение сведений от ТИК, обработка сведений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сведений о членах ТИК с правом сове-щательного голоса от кандидатов, передача сведений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мере назначения членов избирательных комиссий с правом совещательного голоса, до дня официального опубликования результатов выборов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980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Расчет предельных сумм расходов из средств избирательных фондов кандидатов, внесения собственных средств, пожертвований граждан и юридических лиц и передача этих сведений («Контроль избирательных фондов»)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от ТИК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позднее 14 дней после официального опубликования решения о назначении выборов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01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Обработка и передача информации о поступлении и расходовании средств избирательных фондов кандидатов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(«Контроль избирательных фондов»)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от ТИК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 дня голосования – не реже одного раза в неделю, за 10 дней до дня голосования – не реже 1 раза в 3 дня, а также за два дня до прекращения агитационного периода.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988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Пересылка итоговых финансовых отчетов кандидатов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(«Контроль избирательных фондов»)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от ТИК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позднее, чем через 3 дня после представления итогового финансового отчета в ТИК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976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сведений о выдаче документов строгой отчетности (бланков открепительных удостоверений и избирательных бюллетеней) («Документы строгой отчетности»)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Получение информации о документах строгой отчетности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информации о документах строгой отчетности, распреде-ление документов, пересылка информации о распределении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двух дней после поступления информации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857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и передача списка отчетных времен  </w:t>
            </w:r>
            <w:r>
              <w:rPr>
                <w:rFonts w:ascii="Times New Roman" w:hAnsi="Times New Roman" w:cs="Times New Roman"/>
                <w:color w:val="ff0000"/>
                <w:sz w:val="24"/>
              </w:rPr>
              <w:t xml:space="preserve">(10:00, 12:00, 15:00, 18:00)</w:t>
            </w:r>
            <w:r>
              <w:rPr>
                <w:rFonts w:ascii="Times New Roman" w:hAnsi="Times New Roman" w:cs="Times New Roman"/>
                <w:sz w:val="24"/>
              </w:rPr>
              <w:t xml:space="preserve"> («Итоги»)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списка отчетных времен.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списка отчетных времен, передача списка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позднее чем за 5 дней до даты голосования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102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и передача описания протоколов об итогах голосования («Итоги»)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от ТИК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описате-лей протоколов без списков кандидатов, формирование протоко-лов с кандидатами, пересылка протоколов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позднее чем за 5 дней до даты голосования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149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данных об открытии помещений для голосования и передача сведений в вышестоящие избирательные комиссии («Итоги»)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Получение данных об открытии УИК, обра-ботка, формирование отчетов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данных об открытии УИК, передача данных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мере поступления информации, но не позднее 8 час. 30 мин. местного времени в день голосования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972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данных об участии избирателей в выборах («Итоги»)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Получение данных об участии избирателей в выборах из ТИК в соответствии со спис-ком отчетных времен, обработка, формирова-ние отчетов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данных об участии избирателей в выборах, передача данных в ИК КБР в соответствии со списком отчетных времен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позднее чем через 30 минут с момента истечения отчетного времени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2282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данных протоколов участковых избирательных комиссий об итогах голосования («Итоги»)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Получение данных протоколов УИК из ТИК формирование протокола об итогах голосования по каждому мажоритарному округу, формирование сводной таблицы по каждому мажоритарному округу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данных протоколов УИК, передача данных в ИК КБР, распечатка протоколов, сводных таблиц об итогах голосования по мажоритарным округам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 мере ввода данных, начиная со времени закрытия участков, каждый час в автоматическом режиме до окончания ввода данных протоколов всех УИК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443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сведений о дате и времени подписания протоколов об итогах голосования («Итоги»)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Получение информации о подписании протоко-лов ТИК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Подписание протоколов ТИК в соответствии с решением ТИК, передача информации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Не позднее одного часа после подписания протоколов ТИК, ИККБР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980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данных о погашении неиспользованных бланков документов строгой отчетности. Передача в вышестоящие избирательные комиссии информации о движении документов строгой отчетности («Документы строгой отчетности»)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от ТИК информации о движении документов строгой отчетности («Документы строгой отчетности»)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данных о погашении неиспользо- ванных бланков избира-тельных бюллетеней, формирование отчетов Передача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Избирательные бюллетени - по мере ввода данных в день голосования после закрытия участков. Открепительные удостоверения - в день голосования после открытия участков.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252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Передача информации об определении результатов выборов («Избирательные кампании»)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данных по завершению кампании от ТИК.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Завершение избиратель- ной кампании в ТИК, передача информации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 течение одного дня после принятия постановления 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1715" w:hRule="exact"/>
        </w:trPr>
        <w:tc>
          <w:tcPr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данных об окончании полномочий членов избирательных комиссий с правом совещательного голоса от непобедивших кандидатов («Кадры»)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Прием данных от ТИК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Ввод данных об оконча- нии полномочий членов ТИК с правом совеща- тельного голоса от не-победивших кандидатов, передача в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 дня окончания избирательной кампании в течение 7 дней 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</w:tblPrEx>
        <w:trPr>
          <w:cantSplit/>
          <w:trHeight w:val="875" w:hRule="exact"/>
        </w:trPr>
        <w:tc>
          <w:tcPr>
            <w:tcBorders>
              <w:bottom w:val="single" w:color="000000" w:sz="4" w:space="0"/>
            </w:tcBorders>
            <w:tcW w:w="709" w:type="dxa"/>
            <w:vAlign w:val="top"/>
            <w:textDirection w:val="lrTb"/>
            <w:noWrap w:val="false"/>
          </w:tcPr>
          <w:p>
            <w:pPr>
              <w:pStyle w:val="902"/>
              <w:numPr>
                <w:ilvl w:val="0"/>
                <w:numId w:val="16"/>
              </w:numPr>
              <w:ind w:left="584" w:hanging="357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4678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Опубликование данных в сети Интернет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3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Размещение на сайтах ИК КБР</w:t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2789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  <w:tc>
          <w:tcPr>
            <w:tcBorders>
              <w:bottom w:val="single" w:color="000000" w:sz="4" w:space="0"/>
            </w:tcBorders>
            <w:tcW w:w="3544" w:type="dxa"/>
            <w:vAlign w:val="top"/>
            <w:textDirection w:val="lrTb"/>
            <w:noWrap w:val="false"/>
          </w:tcPr>
          <w:p>
            <w:pPr>
              <w:pStyle w:val="90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  <w:r>
              <w:rPr>
                <w:rFonts w:ascii="Times New Roman" w:hAnsi="Times New Roman" w:cs="Times New Roman"/>
                <w:sz w:val="24"/>
              </w:rPr>
            </w:r>
          </w:p>
        </w:tc>
      </w:tr>
    </w:tbl>
    <w:p>
      <w:pPr>
        <w:pStyle w:val="865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865"/>
        <w:rPr>
          <w:sz w:val="26"/>
        </w:rPr>
      </w:pPr>
      <w:r>
        <w:rPr>
          <w:sz w:val="26"/>
        </w:rPr>
      </w:r>
      <w:r>
        <w:rPr>
          <w:sz w:val="26"/>
        </w:rPr>
      </w:r>
      <w:r>
        <w:rPr>
          <w:sz w:val="26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p>
      <w:pPr>
        <w:pStyle w:val="865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  <w:r>
        <w:rPr>
          <w:b/>
          <w:bCs/>
          <w:sz w:val="28"/>
          <w:szCs w:val="28"/>
        </w:rPr>
      </w:r>
    </w:p>
    <w:sectPr>
      <w:footnotePr/>
      <w:endnotePr/>
      <w:type w:val="nextPage"/>
      <w:pgSz w:w="16838" w:h="11906" w:orient="landscape"/>
      <w:pgMar w:top="1701" w:right="1134" w:bottom="851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ourier New">
    <w:panose1 w:val="02070409020205020404"/>
  </w:font>
  <w:font w:name="Tahoma">
    <w:panose1 w:val="020B0606040504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8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8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55" w:hanging="555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10" w:hanging="450"/>
        <w:tabs>
          <w:tab w:val="num" w:pos="810" w:leader="none"/>
        </w:tabs>
      </w:pPr>
      <w:rPr>
        <w:sz w:val="28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40" w:hanging="48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7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  <w:tabs>
          <w:tab w:val="num" w:pos="720" w:leader="none"/>
        </w:tabs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  <w:tabs>
          <w:tab w:val="num" w:pos="2880" w:leader="none"/>
        </w:tabs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  <w:tabs>
          <w:tab w:val="num" w:pos="3600" w:leader="none"/>
        </w:tabs>
      </w:pPr>
      <w:rPr>
        <w:rFonts w:ascii="Courier New" w:hAnsi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  <w:tabs>
          <w:tab w:val="num" w:pos="5040" w:leader="none"/>
        </w:tabs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  <w:tabs>
          <w:tab w:val="num" w:pos="5760" w:leader="none"/>
        </w:tabs>
      </w:pPr>
      <w:rPr>
        <w:rFonts w:ascii="Courier New" w:hAnsi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155" w:hanging="1155"/>
        <w:tabs>
          <w:tab w:val="num" w:pos="1155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  <w:tabs>
          <w:tab w:val="num" w:pos="18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  <w:tabs>
          <w:tab w:val="num" w:pos="25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  <w:tabs>
          <w:tab w:val="num" w:pos="32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  <w:tabs>
          <w:tab w:val="num" w:pos="39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  <w:tabs>
          <w:tab w:val="num" w:pos="46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  <w:tabs>
          <w:tab w:val="num" w:pos="54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  <w:tabs>
          <w:tab w:val="num" w:pos="612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4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16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88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60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32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04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76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48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20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75" w:hanging="375"/>
      </w:p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rFonts w:ascii="Times New Roman" w:hAnsi="Times New Roman" w:eastAsia="Times New Roman" w:cs="Times New Roman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1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5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55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75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95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15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35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55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75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95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128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48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68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88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008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28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48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68" w:hanging="180"/>
      </w:pPr>
    </w:lvl>
  </w:abstractNum>
  <w:num w:numId="1">
    <w:abstractNumId w:val="4"/>
  </w:num>
  <w:num w:numId="2">
    <w:abstractNumId w:val="13"/>
  </w:num>
  <w:num w:numId="3">
    <w:abstractNumId w:val="3"/>
  </w:num>
  <w:num w:numId="4">
    <w:abstractNumId w:val="10"/>
  </w:num>
  <w:num w:numId="5">
    <w:abstractNumId w:val="6"/>
  </w:num>
  <w:num w:numId="6">
    <w:abstractNumId w:val="0"/>
  </w:num>
  <w:num w:numId="7">
    <w:abstractNumId w:val="12"/>
  </w:num>
  <w:num w:numId="8">
    <w:abstractNumId w:val="15"/>
  </w:num>
  <w:num w:numId="9">
    <w:abstractNumId w:val="14"/>
  </w:num>
  <w:num w:numId="10">
    <w:abstractNumId w:val="7"/>
  </w:num>
  <w:num w:numId="11">
    <w:abstractNumId w:val="5"/>
  </w:num>
  <w:num w:numId="12">
    <w:abstractNumId w:val="1"/>
  </w:num>
  <w:num w:numId="13">
    <w:abstractNumId w:val="2"/>
  </w:num>
  <w:num w:numId="14">
    <w:abstractNumId w:val="1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87">
    <w:name w:val="Heading 1"/>
    <w:basedOn w:val="865"/>
    <w:next w:val="865"/>
    <w:link w:val="688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688">
    <w:name w:val="Heading 1 Char"/>
    <w:link w:val="687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689">
    <w:name w:val="Heading 2"/>
    <w:basedOn w:val="865"/>
    <w:next w:val="865"/>
    <w:link w:val="690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690">
    <w:name w:val="Heading 2 Char"/>
    <w:link w:val="689"/>
    <w:uiPriority w:val="9"/>
    <w:rPr>
      <w:rFonts w:ascii="Liberation Sans" w:hAnsi="Liberation Sans" w:eastAsia="Liberation Sans" w:cs="Liberation Sans"/>
      <w:sz w:val="34"/>
    </w:rPr>
  </w:style>
  <w:style w:type="paragraph" w:styleId="691">
    <w:name w:val="Heading 3"/>
    <w:basedOn w:val="865"/>
    <w:next w:val="865"/>
    <w:link w:val="692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692">
    <w:name w:val="Heading 3 Char"/>
    <w:link w:val="691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693">
    <w:name w:val="Heading 4"/>
    <w:basedOn w:val="865"/>
    <w:next w:val="865"/>
    <w:link w:val="694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694">
    <w:name w:val="Heading 4 Char"/>
    <w:link w:val="693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695">
    <w:name w:val="Heading 5"/>
    <w:basedOn w:val="865"/>
    <w:next w:val="865"/>
    <w:link w:val="696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696">
    <w:name w:val="Heading 5 Char"/>
    <w:link w:val="695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697">
    <w:name w:val="Heading 6"/>
    <w:basedOn w:val="865"/>
    <w:next w:val="865"/>
    <w:link w:val="698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698">
    <w:name w:val="Heading 6 Char"/>
    <w:link w:val="697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699">
    <w:name w:val="Heading 7"/>
    <w:basedOn w:val="865"/>
    <w:next w:val="865"/>
    <w:link w:val="700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00">
    <w:name w:val="Heading 7 Char"/>
    <w:link w:val="699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01">
    <w:name w:val="Heading 8"/>
    <w:basedOn w:val="865"/>
    <w:next w:val="865"/>
    <w:link w:val="702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02">
    <w:name w:val="Heading 8 Char"/>
    <w:link w:val="701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03">
    <w:name w:val="Heading 9"/>
    <w:basedOn w:val="865"/>
    <w:next w:val="865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04">
    <w:name w:val="Heading 9 Char"/>
    <w:link w:val="703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05">
    <w:name w:val="List Paragraph"/>
    <w:basedOn w:val="865"/>
    <w:uiPriority w:val="34"/>
    <w:qFormat/>
    <w:pPr>
      <w:contextualSpacing/>
      <w:ind w:left="720"/>
    </w:pPr>
  </w:style>
  <w:style w:type="paragraph" w:styleId="706">
    <w:name w:val="No Spacing"/>
    <w:uiPriority w:val="1"/>
    <w:qFormat/>
    <w:pPr>
      <w:spacing w:before="0" w:after="0" w:line="240" w:lineRule="auto"/>
    </w:pPr>
  </w:style>
  <w:style w:type="paragraph" w:styleId="707">
    <w:name w:val="Title"/>
    <w:basedOn w:val="865"/>
    <w:next w:val="865"/>
    <w:link w:val="708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8">
    <w:name w:val="Title Char"/>
    <w:link w:val="707"/>
    <w:uiPriority w:val="10"/>
    <w:rPr>
      <w:sz w:val="48"/>
      <w:szCs w:val="48"/>
    </w:rPr>
  </w:style>
  <w:style w:type="paragraph" w:styleId="709">
    <w:name w:val="Subtitle"/>
    <w:basedOn w:val="865"/>
    <w:next w:val="865"/>
    <w:link w:val="710"/>
    <w:uiPriority w:val="11"/>
    <w:qFormat/>
    <w:pPr>
      <w:spacing w:before="200" w:after="200"/>
    </w:pPr>
    <w:rPr>
      <w:sz w:val="24"/>
      <w:szCs w:val="24"/>
    </w:rPr>
  </w:style>
  <w:style w:type="character" w:styleId="710">
    <w:name w:val="Subtitle Char"/>
    <w:link w:val="709"/>
    <w:uiPriority w:val="11"/>
    <w:rPr>
      <w:sz w:val="24"/>
      <w:szCs w:val="24"/>
    </w:rPr>
  </w:style>
  <w:style w:type="paragraph" w:styleId="711">
    <w:name w:val="Quote"/>
    <w:basedOn w:val="865"/>
    <w:next w:val="865"/>
    <w:link w:val="712"/>
    <w:uiPriority w:val="29"/>
    <w:qFormat/>
    <w:pPr>
      <w:ind w:left="720" w:right="720"/>
    </w:pPr>
    <w:rPr>
      <w:i/>
    </w:rPr>
  </w:style>
  <w:style w:type="character" w:styleId="712">
    <w:name w:val="Quote Char"/>
    <w:link w:val="711"/>
    <w:uiPriority w:val="29"/>
    <w:rPr>
      <w:i/>
    </w:rPr>
  </w:style>
  <w:style w:type="paragraph" w:styleId="713">
    <w:name w:val="Intense Quote"/>
    <w:basedOn w:val="865"/>
    <w:next w:val="865"/>
    <w:link w:val="714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4">
    <w:name w:val="Intense Quote Char"/>
    <w:link w:val="713"/>
    <w:uiPriority w:val="30"/>
    <w:rPr>
      <w:i/>
    </w:rPr>
  </w:style>
  <w:style w:type="paragraph" w:styleId="715">
    <w:name w:val="Header"/>
    <w:basedOn w:val="865"/>
    <w:link w:val="71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>
    <w:name w:val="Header Char"/>
    <w:link w:val="715"/>
    <w:uiPriority w:val="99"/>
  </w:style>
  <w:style w:type="paragraph" w:styleId="717">
    <w:name w:val="Footer"/>
    <w:basedOn w:val="865"/>
    <w:link w:val="71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8">
    <w:name w:val="Footer Char"/>
    <w:link w:val="717"/>
    <w:uiPriority w:val="99"/>
  </w:style>
  <w:style w:type="paragraph" w:styleId="719">
    <w:name w:val="Caption"/>
    <w:basedOn w:val="865"/>
    <w:next w:val="865"/>
    <w:link w:val="72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20">
    <w:name w:val="Caption Char"/>
    <w:link w:val="719"/>
    <w:uiPriority w:val="35"/>
    <w:rPr>
      <w:b/>
      <w:bCs/>
      <w:color w:val="4f81bd" w:themeColor="accent1"/>
      <w:sz w:val="18"/>
      <w:szCs w:val="18"/>
    </w:rPr>
  </w:style>
  <w:style w:type="table" w:styleId="721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2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23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4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25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6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8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2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3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4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5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0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51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52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53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54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55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56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57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58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59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60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61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62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63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764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765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766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767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768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69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770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1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2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3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4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85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86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87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88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89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90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91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6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7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8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09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0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1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12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13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14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15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16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17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18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19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20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21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22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23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24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25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26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7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28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29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0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1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2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33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34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35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36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37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38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39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40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41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42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43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44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45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46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47">
    <w:name w:val="Hyperlink"/>
    <w:uiPriority w:val="99"/>
    <w:unhideWhenUsed/>
    <w:rPr>
      <w:color w:val="0000ff" w:themeColor="hyperlink"/>
      <w:u w:val="single"/>
    </w:rPr>
  </w:style>
  <w:style w:type="paragraph" w:styleId="848">
    <w:name w:val="footnote text"/>
    <w:basedOn w:val="865"/>
    <w:link w:val="849"/>
    <w:uiPriority w:val="99"/>
    <w:semiHidden/>
    <w:unhideWhenUsed/>
    <w:pPr>
      <w:spacing w:after="40" w:line="240" w:lineRule="auto"/>
    </w:pPr>
    <w:rPr>
      <w:sz w:val="18"/>
    </w:rPr>
  </w:style>
  <w:style w:type="character" w:styleId="849">
    <w:name w:val="Footnote Text Char"/>
    <w:link w:val="848"/>
    <w:uiPriority w:val="99"/>
    <w:rPr>
      <w:sz w:val="18"/>
    </w:rPr>
  </w:style>
  <w:style w:type="character" w:styleId="850">
    <w:name w:val="footnote reference"/>
    <w:uiPriority w:val="99"/>
    <w:unhideWhenUsed/>
    <w:rPr>
      <w:vertAlign w:val="superscript"/>
    </w:rPr>
  </w:style>
  <w:style w:type="paragraph" w:styleId="851">
    <w:name w:val="endnote text"/>
    <w:basedOn w:val="865"/>
    <w:link w:val="852"/>
    <w:uiPriority w:val="99"/>
    <w:semiHidden/>
    <w:unhideWhenUsed/>
    <w:pPr>
      <w:spacing w:after="0" w:line="240" w:lineRule="auto"/>
    </w:pPr>
    <w:rPr>
      <w:sz w:val="20"/>
    </w:rPr>
  </w:style>
  <w:style w:type="character" w:styleId="852">
    <w:name w:val="Endnote Text Char"/>
    <w:link w:val="851"/>
    <w:uiPriority w:val="99"/>
    <w:rPr>
      <w:sz w:val="20"/>
    </w:rPr>
  </w:style>
  <w:style w:type="character" w:styleId="853">
    <w:name w:val="endnote reference"/>
    <w:uiPriority w:val="99"/>
    <w:semiHidden/>
    <w:unhideWhenUsed/>
    <w:rPr>
      <w:vertAlign w:val="superscript"/>
    </w:rPr>
  </w:style>
  <w:style w:type="paragraph" w:styleId="854">
    <w:name w:val="toc 1"/>
    <w:basedOn w:val="865"/>
    <w:next w:val="865"/>
    <w:uiPriority w:val="39"/>
    <w:unhideWhenUsed/>
    <w:pPr>
      <w:ind w:left="0" w:right="0" w:firstLine="0"/>
      <w:spacing w:after="57"/>
    </w:pPr>
  </w:style>
  <w:style w:type="paragraph" w:styleId="855">
    <w:name w:val="toc 2"/>
    <w:basedOn w:val="865"/>
    <w:next w:val="865"/>
    <w:uiPriority w:val="39"/>
    <w:unhideWhenUsed/>
    <w:pPr>
      <w:ind w:left="283" w:right="0" w:firstLine="0"/>
      <w:spacing w:after="57"/>
    </w:pPr>
  </w:style>
  <w:style w:type="paragraph" w:styleId="856">
    <w:name w:val="toc 3"/>
    <w:basedOn w:val="865"/>
    <w:next w:val="865"/>
    <w:uiPriority w:val="39"/>
    <w:unhideWhenUsed/>
    <w:pPr>
      <w:ind w:left="567" w:right="0" w:firstLine="0"/>
      <w:spacing w:after="57"/>
    </w:pPr>
  </w:style>
  <w:style w:type="paragraph" w:styleId="857">
    <w:name w:val="toc 4"/>
    <w:basedOn w:val="865"/>
    <w:next w:val="865"/>
    <w:uiPriority w:val="39"/>
    <w:unhideWhenUsed/>
    <w:pPr>
      <w:ind w:left="850" w:right="0" w:firstLine="0"/>
      <w:spacing w:after="57"/>
    </w:pPr>
  </w:style>
  <w:style w:type="paragraph" w:styleId="858">
    <w:name w:val="toc 5"/>
    <w:basedOn w:val="865"/>
    <w:next w:val="865"/>
    <w:uiPriority w:val="39"/>
    <w:unhideWhenUsed/>
    <w:pPr>
      <w:ind w:left="1134" w:right="0" w:firstLine="0"/>
      <w:spacing w:after="57"/>
    </w:pPr>
  </w:style>
  <w:style w:type="paragraph" w:styleId="859">
    <w:name w:val="toc 6"/>
    <w:basedOn w:val="865"/>
    <w:next w:val="865"/>
    <w:uiPriority w:val="39"/>
    <w:unhideWhenUsed/>
    <w:pPr>
      <w:ind w:left="1417" w:right="0" w:firstLine="0"/>
      <w:spacing w:after="57"/>
    </w:pPr>
  </w:style>
  <w:style w:type="paragraph" w:styleId="860">
    <w:name w:val="toc 7"/>
    <w:basedOn w:val="865"/>
    <w:next w:val="865"/>
    <w:uiPriority w:val="39"/>
    <w:unhideWhenUsed/>
    <w:pPr>
      <w:ind w:left="1701" w:right="0" w:firstLine="0"/>
      <w:spacing w:after="57"/>
    </w:pPr>
  </w:style>
  <w:style w:type="paragraph" w:styleId="861">
    <w:name w:val="toc 8"/>
    <w:basedOn w:val="865"/>
    <w:next w:val="865"/>
    <w:uiPriority w:val="39"/>
    <w:unhideWhenUsed/>
    <w:pPr>
      <w:ind w:left="1984" w:right="0" w:firstLine="0"/>
      <w:spacing w:after="57"/>
    </w:pPr>
  </w:style>
  <w:style w:type="paragraph" w:styleId="862">
    <w:name w:val="toc 9"/>
    <w:basedOn w:val="865"/>
    <w:next w:val="865"/>
    <w:uiPriority w:val="39"/>
    <w:unhideWhenUsed/>
    <w:pPr>
      <w:ind w:left="2268" w:right="0" w:firstLine="0"/>
      <w:spacing w:after="57"/>
    </w:pPr>
  </w:style>
  <w:style w:type="paragraph" w:styleId="863">
    <w:name w:val="TOC Heading"/>
    <w:uiPriority w:val="39"/>
    <w:unhideWhenUsed/>
  </w:style>
  <w:style w:type="paragraph" w:styleId="864">
    <w:name w:val="table of figures"/>
    <w:basedOn w:val="865"/>
    <w:next w:val="865"/>
    <w:uiPriority w:val="99"/>
    <w:unhideWhenUsed/>
    <w:pPr>
      <w:spacing w:after="0" w:afterAutospacing="0"/>
    </w:pPr>
  </w:style>
  <w:style w:type="paragraph" w:styleId="865" w:default="1">
    <w:name w:val="Normal"/>
    <w:next w:val="865"/>
    <w:link w:val="865"/>
    <w:qFormat/>
    <w:rPr>
      <w:sz w:val="24"/>
      <w:szCs w:val="24"/>
      <w:lang w:val="ru-RU" w:eastAsia="ru-RU" w:bidi="ar-SA"/>
    </w:rPr>
  </w:style>
  <w:style w:type="paragraph" w:styleId="866">
    <w:name w:val="Заголовок 1"/>
    <w:basedOn w:val="865"/>
    <w:next w:val="865"/>
    <w:link w:val="865"/>
    <w:qFormat/>
    <w:pPr>
      <w:jc w:val="center"/>
      <w:keepNext/>
      <w:outlineLvl w:val="0"/>
    </w:pPr>
    <w:rPr>
      <w:b/>
      <w:bCs/>
      <w:i/>
      <w:iCs/>
      <w:sz w:val="20"/>
    </w:rPr>
  </w:style>
  <w:style w:type="paragraph" w:styleId="867">
    <w:name w:val="Заголовок 2"/>
    <w:basedOn w:val="865"/>
    <w:next w:val="865"/>
    <w:link w:val="865"/>
    <w:qFormat/>
    <w:pPr>
      <w:ind w:firstLine="720"/>
      <w:jc w:val="both"/>
      <w:keepNext/>
      <w:outlineLvl w:val="1"/>
    </w:pPr>
    <w:rPr>
      <w:b/>
      <w:bCs/>
      <w:sz w:val="28"/>
    </w:rPr>
  </w:style>
  <w:style w:type="paragraph" w:styleId="868">
    <w:name w:val="Заголовок 3"/>
    <w:basedOn w:val="865"/>
    <w:next w:val="865"/>
    <w:link w:val="890"/>
    <w:qFormat/>
    <w:pPr>
      <w:jc w:val="center"/>
      <w:keepNext/>
      <w:outlineLvl w:val="2"/>
    </w:pPr>
    <w:rPr>
      <w:szCs w:val="20"/>
    </w:rPr>
  </w:style>
  <w:style w:type="paragraph" w:styleId="869">
    <w:name w:val="Заголовок 4"/>
    <w:basedOn w:val="865"/>
    <w:next w:val="865"/>
    <w:link w:val="865"/>
    <w:qFormat/>
    <w:pPr>
      <w:ind w:left="-850" w:firstLine="850"/>
      <w:jc w:val="center"/>
      <w:keepNext/>
      <w:outlineLvl w:val="3"/>
    </w:pPr>
    <w:rPr>
      <w:b/>
      <w:color w:val="000080"/>
      <w:szCs w:val="20"/>
    </w:rPr>
  </w:style>
  <w:style w:type="paragraph" w:styleId="870">
    <w:name w:val="Заголовок 5"/>
    <w:basedOn w:val="865"/>
    <w:next w:val="865"/>
    <w:link w:val="891"/>
    <w:qFormat/>
    <w:pPr>
      <w:jc w:val="both"/>
      <w:keepNext/>
      <w:outlineLvl w:val="4"/>
    </w:pPr>
    <w:rPr>
      <w:sz w:val="28"/>
      <w:szCs w:val="20"/>
    </w:rPr>
  </w:style>
  <w:style w:type="paragraph" w:styleId="871">
    <w:name w:val="Заголовок 8"/>
    <w:basedOn w:val="865"/>
    <w:next w:val="865"/>
    <w:link w:val="884"/>
    <w:uiPriority w:val="9"/>
    <w:semiHidden/>
    <w:unhideWhenUsed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character" w:styleId="872">
    <w:name w:val="Основной шрифт абзаца"/>
    <w:next w:val="872"/>
    <w:link w:val="865"/>
    <w:uiPriority w:val="1"/>
    <w:semiHidden/>
    <w:unhideWhenUsed/>
  </w:style>
  <w:style w:type="table" w:styleId="873">
    <w:name w:val="Обычная таблица"/>
    <w:next w:val="873"/>
    <w:link w:val="865"/>
    <w:uiPriority w:val="99"/>
    <w:semiHidden/>
    <w:unhideWhenUsed/>
    <w:qFormat/>
    <w:tblPr/>
  </w:style>
  <w:style w:type="numbering" w:styleId="874">
    <w:name w:val="Нет списка"/>
    <w:next w:val="874"/>
    <w:link w:val="865"/>
    <w:uiPriority w:val="99"/>
    <w:semiHidden/>
    <w:unhideWhenUsed/>
  </w:style>
  <w:style w:type="paragraph" w:styleId="875">
    <w:name w:val="ConsPlusTitle"/>
    <w:next w:val="875"/>
    <w:link w:val="865"/>
    <w:pPr>
      <w:widowControl w:val="off"/>
    </w:pPr>
    <w:rPr>
      <w:rFonts w:ascii="Arial" w:hAnsi="Arial" w:cs="Arial"/>
      <w:b/>
      <w:bCs/>
      <w:lang w:val="ru-RU" w:eastAsia="ru-RU" w:bidi="ar-SA"/>
    </w:rPr>
  </w:style>
  <w:style w:type="paragraph" w:styleId="876">
    <w:name w:val="Основной текст 2"/>
    <w:basedOn w:val="865"/>
    <w:next w:val="876"/>
    <w:link w:val="883"/>
    <w:semiHidden/>
    <w:pPr>
      <w:jc w:val="center"/>
    </w:pPr>
    <w:rPr>
      <w:b/>
      <w:bCs/>
      <w:sz w:val="28"/>
    </w:rPr>
  </w:style>
  <w:style w:type="paragraph" w:styleId="877">
    <w:name w:val="Основной текст"/>
    <w:basedOn w:val="865"/>
    <w:next w:val="877"/>
    <w:link w:val="878"/>
    <w:uiPriority w:val="99"/>
    <w:unhideWhenUsed/>
    <w:pPr>
      <w:spacing w:after="120"/>
    </w:pPr>
    <w:rPr>
      <w:lang w:val="en-US" w:eastAsia="en-US"/>
    </w:rPr>
  </w:style>
  <w:style w:type="character" w:styleId="878">
    <w:name w:val="Основной текст Знак"/>
    <w:next w:val="878"/>
    <w:link w:val="877"/>
    <w:uiPriority w:val="99"/>
    <w:rPr>
      <w:sz w:val="24"/>
      <w:szCs w:val="24"/>
    </w:rPr>
  </w:style>
  <w:style w:type="paragraph" w:styleId="879">
    <w:name w:val="Текст выноски"/>
    <w:basedOn w:val="865"/>
    <w:next w:val="879"/>
    <w:link w:val="880"/>
    <w:uiPriority w:val="99"/>
    <w:semiHidden/>
    <w:unhideWhenUsed/>
    <w:rPr>
      <w:rFonts w:ascii="Tahoma" w:hAnsi="Tahoma"/>
      <w:sz w:val="16"/>
      <w:szCs w:val="16"/>
      <w:lang w:val="en-US" w:eastAsia="en-US"/>
    </w:rPr>
  </w:style>
  <w:style w:type="character" w:styleId="880">
    <w:name w:val="Текст выноски Знак"/>
    <w:next w:val="880"/>
    <w:link w:val="879"/>
    <w:uiPriority w:val="99"/>
    <w:semiHidden/>
    <w:rPr>
      <w:rFonts w:ascii="Tahoma" w:hAnsi="Tahoma" w:cs="Tahoma"/>
      <w:sz w:val="16"/>
      <w:szCs w:val="16"/>
    </w:rPr>
  </w:style>
  <w:style w:type="paragraph" w:styleId="881">
    <w:name w:val="ConsPlusNormal"/>
    <w:next w:val="881"/>
    <w:link w:val="865"/>
    <w:pPr>
      <w:ind w:firstLine="720"/>
      <w:widowControl w:val="off"/>
    </w:pPr>
    <w:rPr>
      <w:rFonts w:ascii="Arial" w:hAnsi="Arial" w:cs="Arial"/>
      <w:lang w:val="ru-RU" w:eastAsia="ru-RU" w:bidi="ar-SA"/>
    </w:rPr>
  </w:style>
  <w:style w:type="paragraph" w:styleId="882">
    <w:name w:val="ConsPlusNonformat"/>
    <w:next w:val="882"/>
    <w:link w:val="865"/>
    <w:uiPriority w:val="99"/>
    <w:pPr>
      <w:widowControl w:val="off"/>
    </w:pPr>
    <w:rPr>
      <w:rFonts w:ascii="Courier New" w:hAnsi="Courier New" w:cs="Courier New"/>
      <w:lang w:val="ru-RU" w:eastAsia="ru-RU" w:bidi="ar-SA"/>
    </w:rPr>
  </w:style>
  <w:style w:type="character" w:styleId="883">
    <w:name w:val="Основной текст 2 Знак"/>
    <w:basedOn w:val="872"/>
    <w:next w:val="883"/>
    <w:link w:val="876"/>
    <w:semiHidden/>
    <w:rPr>
      <w:b/>
      <w:bCs/>
      <w:sz w:val="28"/>
      <w:szCs w:val="24"/>
    </w:rPr>
  </w:style>
  <w:style w:type="character" w:styleId="884">
    <w:name w:val="Заголовок 8 Знак"/>
    <w:basedOn w:val="872"/>
    <w:next w:val="884"/>
    <w:link w:val="871"/>
    <w:uiPriority w:val="9"/>
    <w:semiHidden/>
    <w:rPr>
      <w:rFonts w:ascii="Calibri" w:hAnsi="Calibri" w:eastAsia="Times New Roman" w:cs="Times New Roman"/>
      <w:i/>
      <w:iCs/>
      <w:sz w:val="24"/>
      <w:szCs w:val="24"/>
    </w:rPr>
  </w:style>
  <w:style w:type="paragraph" w:styleId="885">
    <w:name w:val="T-1.5"/>
    <w:basedOn w:val="865"/>
    <w:next w:val="885"/>
    <w:link w:val="865"/>
    <w:pPr>
      <w:ind w:firstLine="720"/>
      <w:jc w:val="both"/>
      <w:spacing w:line="360" w:lineRule="auto"/>
    </w:pPr>
    <w:rPr>
      <w:sz w:val="28"/>
      <w:szCs w:val="28"/>
    </w:rPr>
  </w:style>
  <w:style w:type="paragraph" w:styleId="886">
    <w:name w:val="Основной текст с отступом"/>
    <w:basedOn w:val="865"/>
    <w:next w:val="886"/>
    <w:link w:val="887"/>
    <w:uiPriority w:val="99"/>
    <w:semiHidden/>
    <w:unhideWhenUsed/>
    <w:pPr>
      <w:ind w:left="283"/>
      <w:spacing w:after="120"/>
    </w:pPr>
  </w:style>
  <w:style w:type="character" w:styleId="887">
    <w:name w:val="Основной текст с отступом Знак"/>
    <w:basedOn w:val="872"/>
    <w:next w:val="887"/>
    <w:link w:val="886"/>
    <w:uiPriority w:val="99"/>
    <w:semiHidden/>
    <w:rPr>
      <w:sz w:val="24"/>
      <w:szCs w:val="24"/>
    </w:rPr>
  </w:style>
  <w:style w:type="paragraph" w:styleId="888">
    <w:name w:val="Абзац списка"/>
    <w:basedOn w:val="865"/>
    <w:next w:val="888"/>
    <w:link w:val="865"/>
    <w:uiPriority w:val="34"/>
    <w:qFormat/>
    <w:pPr>
      <w:contextualSpacing/>
      <w:ind w:left="720"/>
    </w:pPr>
  </w:style>
  <w:style w:type="table" w:styleId="889">
    <w:name w:val="Сетка таблицы"/>
    <w:basedOn w:val="873"/>
    <w:next w:val="889"/>
    <w:link w:val="865"/>
    <w:uiPriority w:val="59"/>
    <w:tblPr/>
  </w:style>
  <w:style w:type="character" w:styleId="890">
    <w:name w:val="Заголовок 3 Знак"/>
    <w:basedOn w:val="872"/>
    <w:next w:val="890"/>
    <w:link w:val="868"/>
    <w:rPr>
      <w:sz w:val="24"/>
    </w:rPr>
  </w:style>
  <w:style w:type="character" w:styleId="891">
    <w:name w:val="Заголовок 5 Знак"/>
    <w:basedOn w:val="872"/>
    <w:next w:val="891"/>
    <w:link w:val="870"/>
    <w:rPr>
      <w:sz w:val="28"/>
    </w:rPr>
  </w:style>
  <w:style w:type="paragraph" w:styleId="892">
    <w:name w:val="Обычный (веб)"/>
    <w:basedOn w:val="865"/>
    <w:next w:val="892"/>
    <w:link w:val="865"/>
    <w:uiPriority w:val="99"/>
    <w:semiHidden/>
    <w:unhideWhenUsed/>
    <w:pPr>
      <w:spacing w:before="100" w:beforeAutospacing="1" w:after="100" w:afterAutospacing="1"/>
    </w:pPr>
  </w:style>
  <w:style w:type="character" w:styleId="893">
    <w:name w:val="apple-converted-space"/>
    <w:basedOn w:val="872"/>
    <w:next w:val="893"/>
    <w:link w:val="865"/>
  </w:style>
  <w:style w:type="paragraph" w:styleId="894">
    <w:name w:val="Без интервала"/>
    <w:next w:val="894"/>
    <w:link w:val="865"/>
    <w:uiPriority w:val="1"/>
    <w:qFormat/>
    <w:rPr>
      <w:sz w:val="24"/>
      <w:szCs w:val="24"/>
      <w:lang w:val="ru-RU" w:eastAsia="ru-RU" w:bidi="ar-SA"/>
    </w:rPr>
  </w:style>
  <w:style w:type="paragraph" w:styleId="895">
    <w:name w:val="Основной текст 3"/>
    <w:basedOn w:val="865"/>
    <w:next w:val="895"/>
    <w:link w:val="896"/>
    <w:uiPriority w:val="99"/>
    <w:semiHidden/>
    <w:unhideWhenUsed/>
    <w:pPr>
      <w:spacing w:after="120"/>
    </w:pPr>
    <w:rPr>
      <w:sz w:val="16"/>
      <w:szCs w:val="16"/>
    </w:rPr>
  </w:style>
  <w:style w:type="character" w:styleId="896">
    <w:name w:val="Основной текст 3 Знак"/>
    <w:basedOn w:val="872"/>
    <w:next w:val="896"/>
    <w:link w:val="895"/>
    <w:uiPriority w:val="99"/>
    <w:semiHidden/>
    <w:rPr>
      <w:sz w:val="16"/>
      <w:szCs w:val="16"/>
    </w:rPr>
  </w:style>
  <w:style w:type="paragraph" w:styleId="897">
    <w:name w:val="Основной текст с отступом 2"/>
    <w:basedOn w:val="865"/>
    <w:next w:val="897"/>
    <w:link w:val="898"/>
    <w:uiPriority w:val="99"/>
    <w:semiHidden/>
    <w:unhideWhenUsed/>
    <w:pPr>
      <w:ind w:left="283"/>
      <w:spacing w:after="120" w:line="480" w:lineRule="auto"/>
    </w:pPr>
  </w:style>
  <w:style w:type="character" w:styleId="898">
    <w:name w:val="Основной текст с отступом 2 Знак"/>
    <w:basedOn w:val="872"/>
    <w:next w:val="898"/>
    <w:link w:val="897"/>
    <w:uiPriority w:val="99"/>
    <w:semiHidden/>
    <w:rPr>
      <w:sz w:val="24"/>
      <w:szCs w:val="24"/>
    </w:rPr>
  </w:style>
  <w:style w:type="paragraph" w:styleId="899">
    <w:name w:val="Основной текст с отступом 3"/>
    <w:basedOn w:val="865"/>
    <w:next w:val="899"/>
    <w:link w:val="900"/>
    <w:uiPriority w:val="99"/>
    <w:semiHidden/>
    <w:unhideWhenUsed/>
    <w:pPr>
      <w:ind w:left="283"/>
      <w:spacing w:after="120"/>
    </w:pPr>
    <w:rPr>
      <w:sz w:val="16"/>
      <w:szCs w:val="16"/>
    </w:rPr>
  </w:style>
  <w:style w:type="character" w:styleId="900">
    <w:name w:val="Основной текст с отступом 3 Знак"/>
    <w:basedOn w:val="872"/>
    <w:next w:val="900"/>
    <w:link w:val="899"/>
    <w:uiPriority w:val="99"/>
    <w:semiHidden/>
    <w:rPr>
      <w:sz w:val="16"/>
      <w:szCs w:val="16"/>
    </w:rPr>
  </w:style>
  <w:style w:type="character" w:styleId="901">
    <w:name w:val="Цветовое выделение"/>
    <w:next w:val="901"/>
    <w:link w:val="865"/>
    <w:rPr>
      <w:b/>
      <w:bCs/>
      <w:color w:val="000080"/>
      <w:szCs w:val="20"/>
    </w:rPr>
  </w:style>
  <w:style w:type="paragraph" w:styleId="902">
    <w:name w:val="Таблицы (моноширинный)"/>
    <w:basedOn w:val="865"/>
    <w:next w:val="865"/>
    <w:link w:val="865"/>
    <w:pPr>
      <w:jc w:val="both"/>
      <w:widowControl w:val="off"/>
    </w:pPr>
    <w:rPr>
      <w:rFonts w:ascii="Courier New" w:hAnsi="Courier New" w:cs="Courier New"/>
      <w:sz w:val="20"/>
      <w:szCs w:val="20"/>
    </w:rPr>
  </w:style>
  <w:style w:type="character" w:styleId="903" w:default="1">
    <w:name w:val="Default Paragraph Font"/>
    <w:uiPriority w:val="1"/>
    <w:semiHidden/>
    <w:unhideWhenUsed/>
  </w:style>
  <w:style w:type="numbering" w:styleId="904" w:default="1">
    <w:name w:val="No List"/>
    <w:uiPriority w:val="99"/>
    <w:semiHidden/>
    <w:unhideWhenUsed/>
  </w:style>
  <w:style w:type="table" w:styleId="905" w:default="1">
    <w:name w:val="Normal Table"/>
    <w:uiPriority w:val="99"/>
    <w:semiHidden/>
    <w:unhideWhenUsed/>
    <w:tblPr/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creator>admin</dc:creator>
  <cp:lastModifiedBy>user</cp:lastModifiedBy>
  <cp:revision>7</cp:revision>
  <dcterms:created xsi:type="dcterms:W3CDTF">2016-06-28T11:33:00Z</dcterms:created>
  <dcterms:modified xsi:type="dcterms:W3CDTF">2026-06-23T09:27:38Z</dcterms:modified>
  <cp:version>786432</cp:version>
</cp:coreProperties>
</file>